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0689D60B" w:rsidR="00934A35" w:rsidRDefault="00F86ED9" w:rsidP="00F86ED9">
      <w:pPr>
        <w:pStyle w:val="Title"/>
      </w:pPr>
      <w:r>
        <w:t>Negative Brief</w:t>
      </w:r>
      <w:r w:rsidR="00BA13DE">
        <w:t xml:space="preserve">: </w:t>
      </w:r>
      <w:r w:rsidR="00757450">
        <w:t>MFF Funding Reallocation</w:t>
      </w:r>
    </w:p>
    <w:p w14:paraId="16A637BD" w14:textId="0C26B389" w:rsidR="00AF2404" w:rsidRDefault="00D462AA" w:rsidP="00550582">
      <w:pPr>
        <w:spacing w:after="200"/>
        <w:jc w:val="center"/>
      </w:pPr>
      <w:r>
        <w:t xml:space="preserve">By </w:t>
      </w:r>
      <w:r w:rsidR="00F76BC9">
        <w:t>“Coach Vance” Trefethen</w:t>
      </w:r>
    </w:p>
    <w:p w14:paraId="58BA1C7A" w14:textId="5EAF7DE0" w:rsidR="00F60940" w:rsidRPr="00622402" w:rsidRDefault="00261955" w:rsidP="00261955">
      <w:pPr>
        <w:pStyle w:val="Constructive"/>
        <w:jc w:val="center"/>
        <w:rPr>
          <w:rFonts w:asciiTheme="majorHAnsi" w:eastAsiaTheme="minorEastAsia" w:hAnsiTheme="majorHAnsi"/>
          <w:b/>
          <w:i/>
          <w:sz w:val="28"/>
          <w:szCs w:val="28"/>
        </w:rPr>
      </w:pPr>
      <w:r w:rsidRPr="00622402">
        <w:rPr>
          <w:rFonts w:asciiTheme="majorHAnsi" w:eastAsia="MS Mincho" w:hAnsiTheme="majorHAnsi"/>
          <w:b/>
          <w:i/>
          <w:sz w:val="28"/>
          <w:szCs w:val="28"/>
        </w:rPr>
        <w:t>Resolved:</w:t>
      </w:r>
      <w:r w:rsidR="00622402" w:rsidRPr="00622402">
        <w:rPr>
          <w:rFonts w:asciiTheme="majorHAnsi" w:hAnsiTheme="majorHAnsi"/>
          <w:b/>
          <w:i/>
          <w:sz w:val="28"/>
          <w:szCs w:val="28"/>
          <w:shd w:val="clear" w:color="auto" w:fill="FFFFFF"/>
        </w:rPr>
        <w:t xml:space="preserve"> The European Union should substantially reform its immigration policy.</w:t>
      </w:r>
    </w:p>
    <w:p w14:paraId="776E2127" w14:textId="27085DFB" w:rsidR="00261955" w:rsidRPr="00663ECF" w:rsidRDefault="00757450" w:rsidP="00663ECF">
      <w:pPr>
        <w:pStyle w:val="Case"/>
        <w:numPr>
          <w:ilvl w:val="0"/>
          <w:numId w:val="0"/>
        </w:numPr>
        <w:rPr>
          <w:rFonts w:eastAsiaTheme="minorEastAsia"/>
        </w:rPr>
      </w:pPr>
      <w:r w:rsidRPr="00663ECF">
        <w:t>The multiannual financial framework (MFF) is a long-term budgeting process used by the EU to distribute money to EU countries.  AFF is concerned that funds for managing inflows of migrants are allocated years in advance, and thus don’t accurately keep up with current trends.  A country might be getting too much or too little money for today’s immigration needs because the statistics they’re using for the budget came from several years ago when the influx was much higher or lower</w:t>
      </w:r>
      <w:r w:rsidR="00963CFB" w:rsidRPr="00663ECF">
        <w:t>.</w:t>
      </w:r>
      <w:r w:rsidR="00FA65EF" w:rsidRPr="00663ECF">
        <w:t xml:space="preserve">  This brief shows why none of that matters.  AFF’s own evidence source who says the budget process is messed up also says it wouldn’t matter anyway because countries with a lot of migrants won’t spend any money on them, and have even refused it when it was offered.  And the Status Quo already has an additional fund beyond MFF that provides flexible and emergency response whenever a sudden influx of migrants pops up, to give money to any Member State that faces a sudden need.</w:t>
      </w:r>
    </w:p>
    <w:p w14:paraId="51927BC3" w14:textId="62464C9E" w:rsidR="00392B65" w:rsidRDefault="00DA2F2D">
      <w:pPr>
        <w:pStyle w:val="TOC1"/>
        <w:rPr>
          <w:rFonts w:asciiTheme="minorHAnsi" w:eastAsiaTheme="minorEastAsia" w:hAnsiTheme="minorHAnsi" w:cstheme="minorBidi"/>
          <w:b w:val="0"/>
          <w:noProof/>
          <w:sz w:val="22"/>
          <w:szCs w:val="22"/>
        </w:rPr>
      </w:pPr>
      <w:r>
        <w:fldChar w:fldCharType="begin"/>
      </w:r>
      <w:r>
        <w:instrText xml:space="preserve"> TOC \o "1-3" \t "Contention 1,2,Contention 2,3,Title 2,1" </w:instrText>
      </w:r>
      <w:r>
        <w:fldChar w:fldCharType="separate"/>
      </w:r>
      <w:r w:rsidR="00392B65">
        <w:rPr>
          <w:noProof/>
        </w:rPr>
        <w:t>Negative: MFF Funding Reallocation</w:t>
      </w:r>
      <w:r w:rsidR="00392B65">
        <w:rPr>
          <w:noProof/>
        </w:rPr>
        <w:tab/>
      </w:r>
      <w:r w:rsidR="00392B65">
        <w:rPr>
          <w:noProof/>
        </w:rPr>
        <w:fldChar w:fldCharType="begin"/>
      </w:r>
      <w:r w:rsidR="00392B65">
        <w:rPr>
          <w:noProof/>
        </w:rPr>
        <w:instrText xml:space="preserve"> PAGEREF _Toc63794615 \h </w:instrText>
      </w:r>
      <w:r w:rsidR="00392B65">
        <w:rPr>
          <w:noProof/>
        </w:rPr>
      </w:r>
      <w:r w:rsidR="00392B65">
        <w:rPr>
          <w:noProof/>
        </w:rPr>
        <w:fldChar w:fldCharType="separate"/>
      </w:r>
      <w:r w:rsidR="00392B65">
        <w:rPr>
          <w:noProof/>
        </w:rPr>
        <w:t>3</w:t>
      </w:r>
      <w:r w:rsidR="00392B65">
        <w:rPr>
          <w:noProof/>
        </w:rPr>
        <w:fldChar w:fldCharType="end"/>
      </w:r>
    </w:p>
    <w:p w14:paraId="7BA2BF47" w14:textId="2F9D40C5" w:rsidR="00392B65" w:rsidRDefault="00392B65">
      <w:pPr>
        <w:pStyle w:val="TOC2"/>
        <w:rPr>
          <w:rFonts w:asciiTheme="minorHAnsi" w:eastAsiaTheme="minorEastAsia" w:hAnsiTheme="minorHAnsi" w:cstheme="minorBidi"/>
          <w:noProof/>
          <w:sz w:val="22"/>
          <w:szCs w:val="22"/>
        </w:rPr>
      </w:pPr>
      <w:r>
        <w:rPr>
          <w:noProof/>
        </w:rPr>
        <w:t>INHERENCY – Status Quo already has programs that are solving</w:t>
      </w:r>
      <w:r>
        <w:rPr>
          <w:noProof/>
        </w:rPr>
        <w:tab/>
      </w:r>
      <w:r>
        <w:rPr>
          <w:noProof/>
        </w:rPr>
        <w:fldChar w:fldCharType="begin"/>
      </w:r>
      <w:r>
        <w:rPr>
          <w:noProof/>
        </w:rPr>
        <w:instrText xml:space="preserve"> PAGEREF _Toc63794616 \h </w:instrText>
      </w:r>
      <w:r>
        <w:rPr>
          <w:noProof/>
        </w:rPr>
      </w:r>
      <w:r>
        <w:rPr>
          <w:noProof/>
        </w:rPr>
        <w:fldChar w:fldCharType="separate"/>
      </w:r>
      <w:r>
        <w:rPr>
          <w:noProof/>
        </w:rPr>
        <w:t>3</w:t>
      </w:r>
      <w:r>
        <w:rPr>
          <w:noProof/>
        </w:rPr>
        <w:fldChar w:fldCharType="end"/>
      </w:r>
    </w:p>
    <w:p w14:paraId="2D910606" w14:textId="6C91607A" w:rsidR="00392B65" w:rsidRDefault="00392B65">
      <w:pPr>
        <w:pStyle w:val="TOC2"/>
        <w:rPr>
          <w:rFonts w:asciiTheme="minorHAnsi" w:eastAsiaTheme="minorEastAsia" w:hAnsiTheme="minorHAnsi" w:cstheme="minorBidi"/>
          <w:noProof/>
          <w:sz w:val="22"/>
          <w:szCs w:val="22"/>
        </w:rPr>
      </w:pPr>
      <w:r>
        <w:rPr>
          <w:noProof/>
        </w:rPr>
        <w:t>1.   New AMF – Asylum &amp; Migration Fund - accomplishes AFF plan in Status Quo</w:t>
      </w:r>
      <w:r>
        <w:rPr>
          <w:noProof/>
        </w:rPr>
        <w:tab/>
      </w:r>
      <w:r>
        <w:rPr>
          <w:noProof/>
        </w:rPr>
        <w:fldChar w:fldCharType="begin"/>
      </w:r>
      <w:r>
        <w:rPr>
          <w:noProof/>
        </w:rPr>
        <w:instrText xml:space="preserve"> PAGEREF _Toc63794617 \h </w:instrText>
      </w:r>
      <w:r>
        <w:rPr>
          <w:noProof/>
        </w:rPr>
      </w:r>
      <w:r>
        <w:rPr>
          <w:noProof/>
        </w:rPr>
        <w:fldChar w:fldCharType="separate"/>
      </w:r>
      <w:r>
        <w:rPr>
          <w:noProof/>
        </w:rPr>
        <w:t>3</w:t>
      </w:r>
      <w:r>
        <w:rPr>
          <w:noProof/>
        </w:rPr>
        <w:fldChar w:fldCharType="end"/>
      </w:r>
    </w:p>
    <w:p w14:paraId="2FA0D824" w14:textId="13571971" w:rsidR="00392B65" w:rsidRDefault="00392B65">
      <w:pPr>
        <w:pStyle w:val="TOC3"/>
        <w:rPr>
          <w:rFonts w:asciiTheme="minorHAnsi" w:eastAsiaTheme="minorEastAsia" w:hAnsiTheme="minorHAnsi" w:cstheme="minorBidi"/>
          <w:noProof/>
          <w:sz w:val="22"/>
          <w:szCs w:val="22"/>
        </w:rPr>
      </w:pPr>
      <w:r>
        <w:rPr>
          <w:noProof/>
        </w:rPr>
        <w:t>AMF was enacted in Dec 2020 [compare to 2018 dates in AFF plan] with €8.7 billion in funding to supplement MFF</w:t>
      </w:r>
      <w:r>
        <w:rPr>
          <w:noProof/>
        </w:rPr>
        <w:tab/>
      </w:r>
      <w:r>
        <w:rPr>
          <w:noProof/>
        </w:rPr>
        <w:fldChar w:fldCharType="begin"/>
      </w:r>
      <w:r>
        <w:rPr>
          <w:noProof/>
        </w:rPr>
        <w:instrText xml:space="preserve"> PAGEREF _Toc63794618 \h </w:instrText>
      </w:r>
      <w:r>
        <w:rPr>
          <w:noProof/>
        </w:rPr>
      </w:r>
      <w:r>
        <w:rPr>
          <w:noProof/>
        </w:rPr>
        <w:fldChar w:fldCharType="separate"/>
      </w:r>
      <w:r>
        <w:rPr>
          <w:noProof/>
        </w:rPr>
        <w:t>3</w:t>
      </w:r>
      <w:r>
        <w:rPr>
          <w:noProof/>
        </w:rPr>
        <w:fldChar w:fldCharType="end"/>
      </w:r>
    </w:p>
    <w:p w14:paraId="4890AD40" w14:textId="3C4EFF59" w:rsidR="00392B65" w:rsidRDefault="00392B65">
      <w:pPr>
        <w:pStyle w:val="TOC3"/>
        <w:rPr>
          <w:rFonts w:asciiTheme="minorHAnsi" w:eastAsiaTheme="minorEastAsia" w:hAnsiTheme="minorHAnsi" w:cstheme="minorBidi"/>
          <w:noProof/>
          <w:sz w:val="22"/>
          <w:szCs w:val="22"/>
        </w:rPr>
      </w:pPr>
      <w:r>
        <w:rPr>
          <w:noProof/>
        </w:rPr>
        <w:t>AMF provides flexible response funding based on immigration flows over the coming years</w:t>
      </w:r>
      <w:r>
        <w:rPr>
          <w:noProof/>
        </w:rPr>
        <w:tab/>
      </w:r>
      <w:r>
        <w:rPr>
          <w:noProof/>
        </w:rPr>
        <w:fldChar w:fldCharType="begin"/>
      </w:r>
      <w:r>
        <w:rPr>
          <w:noProof/>
        </w:rPr>
        <w:instrText xml:space="preserve"> PAGEREF _Toc63794619 \h </w:instrText>
      </w:r>
      <w:r>
        <w:rPr>
          <w:noProof/>
        </w:rPr>
      </w:r>
      <w:r>
        <w:rPr>
          <w:noProof/>
        </w:rPr>
        <w:fldChar w:fldCharType="separate"/>
      </w:r>
      <w:r>
        <w:rPr>
          <w:noProof/>
        </w:rPr>
        <w:t>3</w:t>
      </w:r>
      <w:r>
        <w:rPr>
          <w:noProof/>
        </w:rPr>
        <w:fldChar w:fldCharType="end"/>
      </w:r>
    </w:p>
    <w:p w14:paraId="715357B9" w14:textId="7E070A05" w:rsidR="00392B65" w:rsidRDefault="00392B65">
      <w:pPr>
        <w:pStyle w:val="TOC2"/>
        <w:rPr>
          <w:rFonts w:asciiTheme="minorHAnsi" w:eastAsiaTheme="minorEastAsia" w:hAnsiTheme="minorHAnsi" w:cstheme="minorBidi"/>
          <w:noProof/>
          <w:sz w:val="22"/>
          <w:szCs w:val="22"/>
        </w:rPr>
      </w:pPr>
      <w:r>
        <w:rPr>
          <w:noProof/>
        </w:rPr>
        <w:t>HARMS / SIGNIFICANCE</w:t>
      </w:r>
      <w:r>
        <w:rPr>
          <w:noProof/>
        </w:rPr>
        <w:tab/>
      </w:r>
      <w:r>
        <w:rPr>
          <w:noProof/>
        </w:rPr>
        <w:fldChar w:fldCharType="begin"/>
      </w:r>
      <w:r>
        <w:rPr>
          <w:noProof/>
        </w:rPr>
        <w:instrText xml:space="preserve"> PAGEREF _Toc63794620 \h </w:instrText>
      </w:r>
      <w:r>
        <w:rPr>
          <w:noProof/>
        </w:rPr>
      </w:r>
      <w:r>
        <w:rPr>
          <w:noProof/>
        </w:rPr>
        <w:fldChar w:fldCharType="separate"/>
      </w:r>
      <w:r>
        <w:rPr>
          <w:noProof/>
        </w:rPr>
        <w:t>3</w:t>
      </w:r>
      <w:r>
        <w:rPr>
          <w:noProof/>
        </w:rPr>
        <w:fldChar w:fldCharType="end"/>
      </w:r>
    </w:p>
    <w:p w14:paraId="25594E7E" w14:textId="77007BD6" w:rsidR="00392B65" w:rsidRDefault="00392B65">
      <w:pPr>
        <w:pStyle w:val="TOC2"/>
        <w:rPr>
          <w:rFonts w:asciiTheme="minorHAnsi" w:eastAsiaTheme="minorEastAsia" w:hAnsiTheme="minorHAnsi" w:cstheme="minorBidi"/>
          <w:noProof/>
          <w:sz w:val="22"/>
          <w:szCs w:val="22"/>
        </w:rPr>
      </w:pPr>
      <w:r>
        <w:rPr>
          <w:noProof/>
        </w:rPr>
        <w:t>1.  There aren’t any</w:t>
      </w:r>
      <w:r>
        <w:rPr>
          <w:noProof/>
        </w:rPr>
        <w:tab/>
      </w:r>
      <w:r>
        <w:rPr>
          <w:noProof/>
        </w:rPr>
        <w:fldChar w:fldCharType="begin"/>
      </w:r>
      <w:r>
        <w:rPr>
          <w:noProof/>
        </w:rPr>
        <w:instrText xml:space="preserve"> PAGEREF _Toc63794621 \h </w:instrText>
      </w:r>
      <w:r>
        <w:rPr>
          <w:noProof/>
        </w:rPr>
      </w:r>
      <w:r>
        <w:rPr>
          <w:noProof/>
        </w:rPr>
        <w:fldChar w:fldCharType="separate"/>
      </w:r>
      <w:r>
        <w:rPr>
          <w:noProof/>
        </w:rPr>
        <w:t>3</w:t>
      </w:r>
      <w:r>
        <w:rPr>
          <w:noProof/>
        </w:rPr>
        <w:fldChar w:fldCharType="end"/>
      </w:r>
    </w:p>
    <w:p w14:paraId="6E24FC08" w14:textId="0EDC509A" w:rsidR="00392B65" w:rsidRDefault="00392B65">
      <w:pPr>
        <w:pStyle w:val="TOC3"/>
        <w:rPr>
          <w:rFonts w:asciiTheme="minorHAnsi" w:eastAsiaTheme="minorEastAsia" w:hAnsiTheme="minorHAnsi" w:cstheme="minorBidi"/>
          <w:noProof/>
          <w:sz w:val="22"/>
          <w:szCs w:val="22"/>
        </w:rPr>
      </w:pPr>
      <w:r>
        <w:rPr>
          <w:noProof/>
        </w:rPr>
        <w:t>It isn’t a harm until someone gets harmed</w:t>
      </w:r>
      <w:r>
        <w:rPr>
          <w:noProof/>
        </w:rPr>
        <w:tab/>
      </w:r>
      <w:r>
        <w:rPr>
          <w:noProof/>
        </w:rPr>
        <w:fldChar w:fldCharType="begin"/>
      </w:r>
      <w:r>
        <w:rPr>
          <w:noProof/>
        </w:rPr>
        <w:instrText xml:space="preserve"> PAGEREF _Toc63794622 \h </w:instrText>
      </w:r>
      <w:r>
        <w:rPr>
          <w:noProof/>
        </w:rPr>
      </w:r>
      <w:r>
        <w:rPr>
          <w:noProof/>
        </w:rPr>
        <w:fldChar w:fldCharType="separate"/>
      </w:r>
      <w:r>
        <w:rPr>
          <w:noProof/>
        </w:rPr>
        <w:t>3</w:t>
      </w:r>
      <w:r>
        <w:rPr>
          <w:noProof/>
        </w:rPr>
        <w:fldChar w:fldCharType="end"/>
      </w:r>
    </w:p>
    <w:p w14:paraId="1BE5AAF5" w14:textId="62B27396" w:rsidR="00392B65" w:rsidRDefault="00392B65">
      <w:pPr>
        <w:pStyle w:val="TOC2"/>
        <w:rPr>
          <w:rFonts w:asciiTheme="minorHAnsi" w:eastAsiaTheme="minorEastAsia" w:hAnsiTheme="minorHAnsi" w:cstheme="minorBidi"/>
          <w:noProof/>
          <w:sz w:val="22"/>
          <w:szCs w:val="22"/>
        </w:rPr>
      </w:pPr>
      <w:r>
        <w:rPr>
          <w:noProof/>
        </w:rPr>
        <w:t>2.  Other funds available besides MFF</w:t>
      </w:r>
      <w:r>
        <w:rPr>
          <w:noProof/>
        </w:rPr>
        <w:tab/>
      </w:r>
      <w:r>
        <w:rPr>
          <w:noProof/>
        </w:rPr>
        <w:fldChar w:fldCharType="begin"/>
      </w:r>
      <w:r>
        <w:rPr>
          <w:noProof/>
        </w:rPr>
        <w:instrText xml:space="preserve"> PAGEREF _Toc63794623 \h </w:instrText>
      </w:r>
      <w:r>
        <w:rPr>
          <w:noProof/>
        </w:rPr>
      </w:r>
      <w:r>
        <w:rPr>
          <w:noProof/>
        </w:rPr>
        <w:fldChar w:fldCharType="separate"/>
      </w:r>
      <w:r>
        <w:rPr>
          <w:noProof/>
        </w:rPr>
        <w:t>4</w:t>
      </w:r>
      <w:r>
        <w:rPr>
          <w:noProof/>
        </w:rPr>
        <w:fldChar w:fldCharType="end"/>
      </w:r>
    </w:p>
    <w:p w14:paraId="54DC29C8" w14:textId="7A1C392D" w:rsidR="00392B65" w:rsidRDefault="00392B65">
      <w:pPr>
        <w:pStyle w:val="TOC3"/>
        <w:rPr>
          <w:rFonts w:asciiTheme="minorHAnsi" w:eastAsiaTheme="minorEastAsia" w:hAnsiTheme="minorHAnsi" w:cstheme="minorBidi"/>
          <w:noProof/>
          <w:sz w:val="22"/>
          <w:szCs w:val="22"/>
        </w:rPr>
      </w:pPr>
      <w:r>
        <w:rPr>
          <w:noProof/>
        </w:rPr>
        <w:t>AFF’s expert who says MFF budget is “out of step” also says other funds are available a little further on in the same context</w:t>
      </w:r>
      <w:r>
        <w:rPr>
          <w:noProof/>
        </w:rPr>
        <w:tab/>
      </w:r>
      <w:r>
        <w:rPr>
          <w:noProof/>
        </w:rPr>
        <w:fldChar w:fldCharType="begin"/>
      </w:r>
      <w:r>
        <w:rPr>
          <w:noProof/>
        </w:rPr>
        <w:instrText xml:space="preserve"> PAGEREF _Toc63794624 \h </w:instrText>
      </w:r>
      <w:r>
        <w:rPr>
          <w:noProof/>
        </w:rPr>
      </w:r>
      <w:r>
        <w:rPr>
          <w:noProof/>
        </w:rPr>
        <w:fldChar w:fldCharType="separate"/>
      </w:r>
      <w:r>
        <w:rPr>
          <w:noProof/>
        </w:rPr>
        <w:t>4</w:t>
      </w:r>
      <w:r>
        <w:rPr>
          <w:noProof/>
        </w:rPr>
        <w:fldChar w:fldCharType="end"/>
      </w:r>
    </w:p>
    <w:p w14:paraId="1D3BC103" w14:textId="6D4075C5" w:rsidR="00392B65" w:rsidRDefault="00392B65">
      <w:pPr>
        <w:pStyle w:val="TOC2"/>
        <w:rPr>
          <w:rFonts w:asciiTheme="minorHAnsi" w:eastAsiaTheme="minorEastAsia" w:hAnsiTheme="minorHAnsi" w:cstheme="minorBidi"/>
          <w:noProof/>
          <w:sz w:val="22"/>
          <w:szCs w:val="22"/>
        </w:rPr>
      </w:pPr>
      <w:r>
        <w:rPr>
          <w:noProof/>
        </w:rPr>
        <w:t>SOLVENCY</w:t>
      </w:r>
      <w:r>
        <w:rPr>
          <w:noProof/>
        </w:rPr>
        <w:tab/>
      </w:r>
      <w:r>
        <w:rPr>
          <w:noProof/>
        </w:rPr>
        <w:fldChar w:fldCharType="begin"/>
      </w:r>
      <w:r>
        <w:rPr>
          <w:noProof/>
        </w:rPr>
        <w:instrText xml:space="preserve"> PAGEREF _Toc63794625 \h </w:instrText>
      </w:r>
      <w:r>
        <w:rPr>
          <w:noProof/>
        </w:rPr>
      </w:r>
      <w:r>
        <w:rPr>
          <w:noProof/>
        </w:rPr>
        <w:fldChar w:fldCharType="separate"/>
      </w:r>
      <w:r>
        <w:rPr>
          <w:noProof/>
        </w:rPr>
        <w:t>4</w:t>
      </w:r>
      <w:r>
        <w:rPr>
          <w:noProof/>
        </w:rPr>
        <w:fldChar w:fldCharType="end"/>
      </w:r>
    </w:p>
    <w:p w14:paraId="18686463" w14:textId="1B44D862" w:rsidR="00392B65" w:rsidRDefault="00392B65">
      <w:pPr>
        <w:pStyle w:val="TOC2"/>
        <w:rPr>
          <w:rFonts w:asciiTheme="minorHAnsi" w:eastAsiaTheme="minorEastAsia" w:hAnsiTheme="minorHAnsi" w:cstheme="minorBidi"/>
          <w:noProof/>
          <w:sz w:val="22"/>
          <w:szCs w:val="22"/>
        </w:rPr>
      </w:pPr>
      <w:r>
        <w:rPr>
          <w:noProof/>
        </w:rPr>
        <w:t>1.   Many other reforms (at Member State level) needed to solve</w:t>
      </w:r>
      <w:r>
        <w:rPr>
          <w:noProof/>
        </w:rPr>
        <w:tab/>
      </w:r>
      <w:r>
        <w:rPr>
          <w:noProof/>
        </w:rPr>
        <w:fldChar w:fldCharType="begin"/>
      </w:r>
      <w:r>
        <w:rPr>
          <w:noProof/>
        </w:rPr>
        <w:instrText xml:space="preserve"> PAGEREF _Toc63794626 \h </w:instrText>
      </w:r>
      <w:r>
        <w:rPr>
          <w:noProof/>
        </w:rPr>
      </w:r>
      <w:r>
        <w:rPr>
          <w:noProof/>
        </w:rPr>
        <w:fldChar w:fldCharType="separate"/>
      </w:r>
      <w:r>
        <w:rPr>
          <w:noProof/>
        </w:rPr>
        <w:t>4</w:t>
      </w:r>
      <w:r>
        <w:rPr>
          <w:noProof/>
        </w:rPr>
        <w:fldChar w:fldCharType="end"/>
      </w:r>
    </w:p>
    <w:p w14:paraId="77DFEAB3" w14:textId="0B652064" w:rsidR="00392B65" w:rsidRDefault="00392B65">
      <w:pPr>
        <w:pStyle w:val="TOC3"/>
        <w:rPr>
          <w:rFonts w:asciiTheme="minorHAnsi" w:eastAsiaTheme="minorEastAsia" w:hAnsiTheme="minorHAnsi" w:cstheme="minorBidi"/>
          <w:noProof/>
          <w:sz w:val="22"/>
          <w:szCs w:val="22"/>
        </w:rPr>
      </w:pPr>
      <w:r>
        <w:rPr>
          <w:noProof/>
        </w:rPr>
        <w:t>EU Commission lists 5 other reforms Member States should take for funds to meet needs: 1) integration policy framework 2) labor market integration  3) education  4) housing discrimination  5) fragmented policy departments</w:t>
      </w:r>
      <w:r>
        <w:rPr>
          <w:noProof/>
        </w:rPr>
        <w:tab/>
      </w:r>
      <w:r>
        <w:rPr>
          <w:noProof/>
        </w:rPr>
        <w:fldChar w:fldCharType="begin"/>
      </w:r>
      <w:r>
        <w:rPr>
          <w:noProof/>
        </w:rPr>
        <w:instrText xml:space="preserve"> PAGEREF _Toc63794627 \h </w:instrText>
      </w:r>
      <w:r>
        <w:rPr>
          <w:noProof/>
        </w:rPr>
      </w:r>
      <w:r>
        <w:rPr>
          <w:noProof/>
        </w:rPr>
        <w:fldChar w:fldCharType="separate"/>
      </w:r>
      <w:r>
        <w:rPr>
          <w:noProof/>
        </w:rPr>
        <w:t>4</w:t>
      </w:r>
      <w:r>
        <w:rPr>
          <w:noProof/>
        </w:rPr>
        <w:fldChar w:fldCharType="end"/>
      </w:r>
    </w:p>
    <w:p w14:paraId="643BD2D4" w14:textId="5DB6F6A3" w:rsidR="00392B65" w:rsidRDefault="00392B65">
      <w:pPr>
        <w:pStyle w:val="TOC2"/>
        <w:rPr>
          <w:rFonts w:asciiTheme="minorHAnsi" w:eastAsiaTheme="minorEastAsia" w:hAnsiTheme="minorHAnsi" w:cstheme="minorBidi"/>
          <w:noProof/>
          <w:sz w:val="22"/>
          <w:szCs w:val="22"/>
        </w:rPr>
      </w:pPr>
      <w:r>
        <w:rPr>
          <w:noProof/>
        </w:rPr>
        <w:t>2.  Affected Member States don’t want the money and won’t take it</w:t>
      </w:r>
      <w:r>
        <w:rPr>
          <w:noProof/>
        </w:rPr>
        <w:tab/>
      </w:r>
      <w:r>
        <w:rPr>
          <w:noProof/>
        </w:rPr>
        <w:fldChar w:fldCharType="begin"/>
      </w:r>
      <w:r>
        <w:rPr>
          <w:noProof/>
        </w:rPr>
        <w:instrText xml:space="preserve"> PAGEREF _Toc63794628 \h </w:instrText>
      </w:r>
      <w:r>
        <w:rPr>
          <w:noProof/>
        </w:rPr>
      </w:r>
      <w:r>
        <w:rPr>
          <w:noProof/>
        </w:rPr>
        <w:fldChar w:fldCharType="separate"/>
      </w:r>
      <w:r>
        <w:rPr>
          <w:noProof/>
        </w:rPr>
        <w:t>5</w:t>
      </w:r>
      <w:r>
        <w:rPr>
          <w:noProof/>
        </w:rPr>
        <w:fldChar w:fldCharType="end"/>
      </w:r>
    </w:p>
    <w:p w14:paraId="66140E51" w14:textId="3CB6ECE6" w:rsidR="00392B65" w:rsidRDefault="00392B65">
      <w:pPr>
        <w:pStyle w:val="TOC3"/>
        <w:rPr>
          <w:rFonts w:asciiTheme="minorHAnsi" w:eastAsiaTheme="minorEastAsia" w:hAnsiTheme="minorHAnsi" w:cstheme="minorBidi"/>
          <w:noProof/>
          <w:sz w:val="22"/>
          <w:szCs w:val="22"/>
        </w:rPr>
      </w:pPr>
      <w:r>
        <w:rPr>
          <w:noProof/>
        </w:rPr>
        <w:t>AFF’s own source about the “out of step” budget goes on to say Member States having a lot of migrants don’t really want more money</w:t>
      </w:r>
      <w:r>
        <w:rPr>
          <w:noProof/>
        </w:rPr>
        <w:tab/>
      </w:r>
      <w:r>
        <w:rPr>
          <w:noProof/>
        </w:rPr>
        <w:fldChar w:fldCharType="begin"/>
      </w:r>
      <w:r>
        <w:rPr>
          <w:noProof/>
        </w:rPr>
        <w:instrText xml:space="preserve"> PAGEREF _Toc63794629 \h </w:instrText>
      </w:r>
      <w:r>
        <w:rPr>
          <w:noProof/>
        </w:rPr>
      </w:r>
      <w:r>
        <w:rPr>
          <w:noProof/>
        </w:rPr>
        <w:fldChar w:fldCharType="separate"/>
      </w:r>
      <w:r>
        <w:rPr>
          <w:noProof/>
        </w:rPr>
        <w:t>5</w:t>
      </w:r>
      <w:r>
        <w:rPr>
          <w:noProof/>
        </w:rPr>
        <w:fldChar w:fldCharType="end"/>
      </w:r>
    </w:p>
    <w:p w14:paraId="2A762A92" w14:textId="6C7FBF47" w:rsidR="00392B65" w:rsidRDefault="00392B65">
      <w:pPr>
        <w:pStyle w:val="TOC3"/>
        <w:rPr>
          <w:rFonts w:asciiTheme="minorHAnsi" w:eastAsiaTheme="minorEastAsia" w:hAnsiTheme="minorHAnsi" w:cstheme="minorBidi"/>
          <w:noProof/>
          <w:sz w:val="22"/>
          <w:szCs w:val="22"/>
        </w:rPr>
      </w:pPr>
      <w:r>
        <w:rPr>
          <w:noProof/>
        </w:rPr>
        <w:t>Impact:  AFF’s own source says plan won’t solve</w:t>
      </w:r>
      <w:r>
        <w:rPr>
          <w:noProof/>
        </w:rPr>
        <w:tab/>
      </w:r>
      <w:r>
        <w:rPr>
          <w:noProof/>
        </w:rPr>
        <w:fldChar w:fldCharType="begin"/>
      </w:r>
      <w:r>
        <w:rPr>
          <w:noProof/>
        </w:rPr>
        <w:instrText xml:space="preserve"> PAGEREF _Toc63794630 \h </w:instrText>
      </w:r>
      <w:r>
        <w:rPr>
          <w:noProof/>
        </w:rPr>
      </w:r>
      <w:r>
        <w:rPr>
          <w:noProof/>
        </w:rPr>
        <w:fldChar w:fldCharType="separate"/>
      </w:r>
      <w:r>
        <w:rPr>
          <w:noProof/>
        </w:rPr>
        <w:t>5</w:t>
      </w:r>
      <w:r>
        <w:rPr>
          <w:noProof/>
        </w:rPr>
        <w:fldChar w:fldCharType="end"/>
      </w:r>
    </w:p>
    <w:p w14:paraId="124BE128" w14:textId="073F6A8A" w:rsidR="00392B65" w:rsidRDefault="00392B65">
      <w:pPr>
        <w:pStyle w:val="TOC2"/>
        <w:rPr>
          <w:rFonts w:asciiTheme="minorHAnsi" w:eastAsiaTheme="minorEastAsia" w:hAnsiTheme="minorHAnsi" w:cstheme="minorBidi"/>
          <w:noProof/>
          <w:sz w:val="22"/>
          <w:szCs w:val="22"/>
        </w:rPr>
      </w:pPr>
      <w:r>
        <w:rPr>
          <w:noProof/>
        </w:rPr>
        <w:t>3.   EU Member States’ attitudes block effective use of funds</w:t>
      </w:r>
      <w:r>
        <w:rPr>
          <w:noProof/>
        </w:rPr>
        <w:tab/>
      </w:r>
      <w:r>
        <w:rPr>
          <w:noProof/>
        </w:rPr>
        <w:fldChar w:fldCharType="begin"/>
      </w:r>
      <w:r>
        <w:rPr>
          <w:noProof/>
        </w:rPr>
        <w:instrText xml:space="preserve"> PAGEREF _Toc63794631 \h </w:instrText>
      </w:r>
      <w:r>
        <w:rPr>
          <w:noProof/>
        </w:rPr>
      </w:r>
      <w:r>
        <w:rPr>
          <w:noProof/>
        </w:rPr>
        <w:fldChar w:fldCharType="separate"/>
      </w:r>
      <w:r>
        <w:rPr>
          <w:noProof/>
        </w:rPr>
        <w:t>6</w:t>
      </w:r>
      <w:r>
        <w:rPr>
          <w:noProof/>
        </w:rPr>
        <w:fldChar w:fldCharType="end"/>
      </w:r>
    </w:p>
    <w:p w14:paraId="04098544" w14:textId="28A5A18D" w:rsidR="00392B65" w:rsidRDefault="00392B65">
      <w:pPr>
        <w:pStyle w:val="TOC3"/>
        <w:rPr>
          <w:rFonts w:asciiTheme="minorHAnsi" w:eastAsiaTheme="minorEastAsia" w:hAnsiTheme="minorHAnsi" w:cstheme="minorBidi"/>
          <w:noProof/>
          <w:sz w:val="22"/>
          <w:szCs w:val="22"/>
        </w:rPr>
      </w:pPr>
      <w:r>
        <w:rPr>
          <w:noProof/>
        </w:rPr>
        <w:t>Affirmative source admits:  EU Member States have anti-immigrant attitudes, so they won’t spend allocated funds for anything helpful on immigration</w:t>
      </w:r>
      <w:r>
        <w:rPr>
          <w:noProof/>
        </w:rPr>
        <w:tab/>
      </w:r>
      <w:r>
        <w:rPr>
          <w:noProof/>
        </w:rPr>
        <w:fldChar w:fldCharType="begin"/>
      </w:r>
      <w:r>
        <w:rPr>
          <w:noProof/>
        </w:rPr>
        <w:instrText xml:space="preserve"> PAGEREF _Toc63794632 \h </w:instrText>
      </w:r>
      <w:r>
        <w:rPr>
          <w:noProof/>
        </w:rPr>
      </w:r>
      <w:r>
        <w:rPr>
          <w:noProof/>
        </w:rPr>
        <w:fldChar w:fldCharType="separate"/>
      </w:r>
      <w:r>
        <w:rPr>
          <w:noProof/>
        </w:rPr>
        <w:t>6</w:t>
      </w:r>
      <w:r>
        <w:rPr>
          <w:noProof/>
        </w:rPr>
        <w:fldChar w:fldCharType="end"/>
      </w:r>
    </w:p>
    <w:p w14:paraId="7C4A2AFC" w14:textId="355134C2" w:rsidR="00392B65" w:rsidRDefault="00392B65">
      <w:pPr>
        <w:pStyle w:val="TOC2"/>
        <w:rPr>
          <w:rFonts w:asciiTheme="minorHAnsi" w:eastAsiaTheme="minorEastAsia" w:hAnsiTheme="minorHAnsi" w:cstheme="minorBidi"/>
          <w:noProof/>
          <w:sz w:val="22"/>
          <w:szCs w:val="22"/>
        </w:rPr>
      </w:pPr>
      <w:r>
        <w:rPr>
          <w:noProof/>
        </w:rPr>
        <w:t>4.  Funding allocation by migrant count is impossible</w:t>
      </w:r>
      <w:r>
        <w:rPr>
          <w:noProof/>
        </w:rPr>
        <w:tab/>
      </w:r>
      <w:r>
        <w:rPr>
          <w:noProof/>
        </w:rPr>
        <w:fldChar w:fldCharType="begin"/>
      </w:r>
      <w:r>
        <w:rPr>
          <w:noProof/>
        </w:rPr>
        <w:instrText xml:space="preserve"> PAGEREF _Toc63794633 \h </w:instrText>
      </w:r>
      <w:r>
        <w:rPr>
          <w:noProof/>
        </w:rPr>
      </w:r>
      <w:r>
        <w:rPr>
          <w:noProof/>
        </w:rPr>
        <w:fldChar w:fldCharType="separate"/>
      </w:r>
      <w:r>
        <w:rPr>
          <w:noProof/>
        </w:rPr>
        <w:t>7</w:t>
      </w:r>
      <w:r>
        <w:rPr>
          <w:noProof/>
        </w:rPr>
        <w:fldChar w:fldCharType="end"/>
      </w:r>
    </w:p>
    <w:p w14:paraId="446008F9" w14:textId="63F9EF53" w:rsidR="00392B65" w:rsidRDefault="00392B65">
      <w:pPr>
        <w:pStyle w:val="TOC3"/>
        <w:rPr>
          <w:rFonts w:asciiTheme="minorHAnsi" w:eastAsiaTheme="minorEastAsia" w:hAnsiTheme="minorHAnsi" w:cstheme="minorBidi"/>
          <w:noProof/>
          <w:sz w:val="22"/>
          <w:szCs w:val="22"/>
        </w:rPr>
      </w:pPr>
      <w:r>
        <w:rPr>
          <w:noProof/>
        </w:rPr>
        <w:t>Each country counts “migrants” differently, so it’s “essentially impossible to determine” whether money is spent correctly</w:t>
      </w:r>
      <w:r>
        <w:rPr>
          <w:noProof/>
        </w:rPr>
        <w:tab/>
      </w:r>
      <w:r>
        <w:rPr>
          <w:noProof/>
        </w:rPr>
        <w:fldChar w:fldCharType="begin"/>
      </w:r>
      <w:r>
        <w:rPr>
          <w:noProof/>
        </w:rPr>
        <w:instrText xml:space="preserve"> PAGEREF _Toc63794634 \h </w:instrText>
      </w:r>
      <w:r>
        <w:rPr>
          <w:noProof/>
        </w:rPr>
      </w:r>
      <w:r>
        <w:rPr>
          <w:noProof/>
        </w:rPr>
        <w:fldChar w:fldCharType="separate"/>
      </w:r>
      <w:r>
        <w:rPr>
          <w:noProof/>
        </w:rPr>
        <w:t>7</w:t>
      </w:r>
      <w:r>
        <w:rPr>
          <w:noProof/>
        </w:rPr>
        <w:fldChar w:fldCharType="end"/>
      </w:r>
    </w:p>
    <w:p w14:paraId="33450303" w14:textId="2E07668F" w:rsidR="00392B65" w:rsidRDefault="00392B65">
      <w:pPr>
        <w:pStyle w:val="TOC2"/>
        <w:rPr>
          <w:rFonts w:asciiTheme="minorHAnsi" w:eastAsiaTheme="minorEastAsia" w:hAnsiTheme="minorHAnsi" w:cstheme="minorBidi"/>
          <w:noProof/>
          <w:sz w:val="22"/>
          <w:szCs w:val="22"/>
        </w:rPr>
      </w:pPr>
      <w:r>
        <w:rPr>
          <w:noProof/>
        </w:rPr>
        <w:t>5.  More Study Needed on Funding Effectiveness before Funding Allocation Reform</w:t>
      </w:r>
      <w:r>
        <w:rPr>
          <w:noProof/>
        </w:rPr>
        <w:tab/>
      </w:r>
      <w:r>
        <w:rPr>
          <w:noProof/>
        </w:rPr>
        <w:fldChar w:fldCharType="begin"/>
      </w:r>
      <w:r>
        <w:rPr>
          <w:noProof/>
        </w:rPr>
        <w:instrText xml:space="preserve"> PAGEREF _Toc63794635 \h </w:instrText>
      </w:r>
      <w:r>
        <w:rPr>
          <w:noProof/>
        </w:rPr>
      </w:r>
      <w:r>
        <w:rPr>
          <w:noProof/>
        </w:rPr>
        <w:fldChar w:fldCharType="separate"/>
      </w:r>
      <w:r>
        <w:rPr>
          <w:noProof/>
        </w:rPr>
        <w:t>8</w:t>
      </w:r>
      <w:r>
        <w:rPr>
          <w:noProof/>
        </w:rPr>
        <w:fldChar w:fldCharType="end"/>
      </w:r>
    </w:p>
    <w:p w14:paraId="799159A9" w14:textId="08DDF6C2" w:rsidR="00392B65" w:rsidRDefault="00392B65">
      <w:pPr>
        <w:pStyle w:val="TOC3"/>
        <w:rPr>
          <w:rFonts w:asciiTheme="minorHAnsi" w:eastAsiaTheme="minorEastAsia" w:hAnsiTheme="minorHAnsi" w:cstheme="minorBidi"/>
          <w:noProof/>
          <w:sz w:val="22"/>
          <w:szCs w:val="22"/>
        </w:rPr>
      </w:pPr>
      <w:r>
        <w:rPr>
          <w:noProof/>
        </w:rPr>
        <w:t>Before we worry about reallocating funding, we first need to study what it’s being spent on and which programs work.   Otherwise, we’re simply reallocating funding among programs that don’t work</w:t>
      </w:r>
      <w:r>
        <w:rPr>
          <w:noProof/>
        </w:rPr>
        <w:tab/>
      </w:r>
      <w:r>
        <w:rPr>
          <w:noProof/>
        </w:rPr>
        <w:fldChar w:fldCharType="begin"/>
      </w:r>
      <w:r>
        <w:rPr>
          <w:noProof/>
        </w:rPr>
        <w:instrText xml:space="preserve"> PAGEREF _Toc63794636 \h </w:instrText>
      </w:r>
      <w:r>
        <w:rPr>
          <w:noProof/>
        </w:rPr>
      </w:r>
      <w:r>
        <w:rPr>
          <w:noProof/>
        </w:rPr>
        <w:fldChar w:fldCharType="separate"/>
      </w:r>
      <w:r>
        <w:rPr>
          <w:noProof/>
        </w:rPr>
        <w:t>8</w:t>
      </w:r>
      <w:r>
        <w:rPr>
          <w:noProof/>
        </w:rPr>
        <w:fldChar w:fldCharType="end"/>
      </w:r>
    </w:p>
    <w:p w14:paraId="5829A4D9" w14:textId="3E2DE342" w:rsidR="00392B65" w:rsidRDefault="00392B65">
      <w:pPr>
        <w:pStyle w:val="TOC2"/>
        <w:rPr>
          <w:rFonts w:asciiTheme="minorHAnsi" w:eastAsiaTheme="minorEastAsia" w:hAnsiTheme="minorHAnsi" w:cstheme="minorBidi"/>
          <w:noProof/>
          <w:sz w:val="22"/>
          <w:szCs w:val="22"/>
        </w:rPr>
      </w:pPr>
      <w:r>
        <w:rPr>
          <w:noProof/>
        </w:rPr>
        <w:t>6.   Lack of funding</w:t>
      </w:r>
      <w:r>
        <w:rPr>
          <w:noProof/>
        </w:rPr>
        <w:tab/>
      </w:r>
      <w:r>
        <w:rPr>
          <w:noProof/>
        </w:rPr>
        <w:fldChar w:fldCharType="begin"/>
      </w:r>
      <w:r>
        <w:rPr>
          <w:noProof/>
        </w:rPr>
        <w:instrText xml:space="preserve"> PAGEREF _Toc63794637 \h </w:instrText>
      </w:r>
      <w:r>
        <w:rPr>
          <w:noProof/>
        </w:rPr>
      </w:r>
      <w:r>
        <w:rPr>
          <w:noProof/>
        </w:rPr>
        <w:fldChar w:fldCharType="separate"/>
      </w:r>
      <w:r>
        <w:rPr>
          <w:noProof/>
        </w:rPr>
        <w:t>8</w:t>
      </w:r>
      <w:r>
        <w:rPr>
          <w:noProof/>
        </w:rPr>
        <w:fldChar w:fldCharType="end"/>
      </w:r>
    </w:p>
    <w:p w14:paraId="50A60DCB" w14:textId="1CE37BE8" w:rsidR="00392B65" w:rsidRDefault="00392B65">
      <w:pPr>
        <w:pStyle w:val="TOC3"/>
        <w:rPr>
          <w:rFonts w:asciiTheme="minorHAnsi" w:eastAsiaTheme="minorEastAsia" w:hAnsiTheme="minorHAnsi" w:cstheme="minorBidi"/>
          <w:noProof/>
          <w:sz w:val="22"/>
          <w:szCs w:val="22"/>
        </w:rPr>
      </w:pPr>
      <w:r>
        <w:rPr>
          <w:noProof/>
        </w:rPr>
        <w:t>Link:  AFF says they’re not increasing funding, just re-allocating it</w:t>
      </w:r>
      <w:r>
        <w:rPr>
          <w:noProof/>
        </w:rPr>
        <w:tab/>
      </w:r>
      <w:r>
        <w:rPr>
          <w:noProof/>
        </w:rPr>
        <w:fldChar w:fldCharType="begin"/>
      </w:r>
      <w:r>
        <w:rPr>
          <w:noProof/>
        </w:rPr>
        <w:instrText xml:space="preserve"> PAGEREF _Toc63794638 \h </w:instrText>
      </w:r>
      <w:r>
        <w:rPr>
          <w:noProof/>
        </w:rPr>
      </w:r>
      <w:r>
        <w:rPr>
          <w:noProof/>
        </w:rPr>
        <w:fldChar w:fldCharType="separate"/>
      </w:r>
      <w:r>
        <w:rPr>
          <w:noProof/>
        </w:rPr>
        <w:t>8</w:t>
      </w:r>
      <w:r>
        <w:rPr>
          <w:noProof/>
        </w:rPr>
        <w:fldChar w:fldCharType="end"/>
      </w:r>
    </w:p>
    <w:p w14:paraId="0D6C1358" w14:textId="0A5AC31D" w:rsidR="00392B65" w:rsidRDefault="00392B65">
      <w:pPr>
        <w:pStyle w:val="TOC3"/>
        <w:rPr>
          <w:rFonts w:asciiTheme="minorHAnsi" w:eastAsiaTheme="minorEastAsia" w:hAnsiTheme="minorHAnsi" w:cstheme="minorBidi"/>
          <w:noProof/>
          <w:sz w:val="22"/>
          <w:szCs w:val="22"/>
        </w:rPr>
      </w:pPr>
      <w:r>
        <w:rPr>
          <w:noProof/>
        </w:rPr>
        <w:t>Failure:   Can’t solve EU immigration problems without more funding</w:t>
      </w:r>
      <w:r>
        <w:rPr>
          <w:noProof/>
        </w:rPr>
        <w:tab/>
      </w:r>
      <w:r>
        <w:rPr>
          <w:noProof/>
        </w:rPr>
        <w:fldChar w:fldCharType="begin"/>
      </w:r>
      <w:r>
        <w:rPr>
          <w:noProof/>
        </w:rPr>
        <w:instrText xml:space="preserve"> PAGEREF _Toc63794639 \h </w:instrText>
      </w:r>
      <w:r>
        <w:rPr>
          <w:noProof/>
        </w:rPr>
      </w:r>
      <w:r>
        <w:rPr>
          <w:noProof/>
        </w:rPr>
        <w:fldChar w:fldCharType="separate"/>
      </w:r>
      <w:r>
        <w:rPr>
          <w:noProof/>
        </w:rPr>
        <w:t>8</w:t>
      </w:r>
      <w:r>
        <w:rPr>
          <w:noProof/>
        </w:rPr>
        <w:fldChar w:fldCharType="end"/>
      </w:r>
    </w:p>
    <w:p w14:paraId="062ECE58" w14:textId="283A839A" w:rsidR="00392B65" w:rsidRDefault="00392B65">
      <w:pPr>
        <w:pStyle w:val="TOC2"/>
        <w:rPr>
          <w:rFonts w:asciiTheme="minorHAnsi" w:eastAsiaTheme="minorEastAsia" w:hAnsiTheme="minorHAnsi" w:cstheme="minorBidi"/>
          <w:noProof/>
          <w:sz w:val="22"/>
          <w:szCs w:val="22"/>
        </w:rPr>
      </w:pPr>
      <w:r>
        <w:rPr>
          <w:noProof/>
        </w:rPr>
        <w:lastRenderedPageBreak/>
        <w:t>DISADVANTAGES</w:t>
      </w:r>
      <w:r>
        <w:rPr>
          <w:noProof/>
        </w:rPr>
        <w:tab/>
      </w:r>
      <w:r>
        <w:rPr>
          <w:noProof/>
        </w:rPr>
        <w:fldChar w:fldCharType="begin"/>
      </w:r>
      <w:r>
        <w:rPr>
          <w:noProof/>
        </w:rPr>
        <w:instrText xml:space="preserve"> PAGEREF _Toc63794640 \h </w:instrText>
      </w:r>
      <w:r>
        <w:rPr>
          <w:noProof/>
        </w:rPr>
      </w:r>
      <w:r>
        <w:rPr>
          <w:noProof/>
        </w:rPr>
        <w:fldChar w:fldCharType="separate"/>
      </w:r>
      <w:r>
        <w:rPr>
          <w:noProof/>
        </w:rPr>
        <w:t>9</w:t>
      </w:r>
      <w:r>
        <w:rPr>
          <w:noProof/>
        </w:rPr>
        <w:fldChar w:fldCharType="end"/>
      </w:r>
    </w:p>
    <w:p w14:paraId="4CAEC25C" w14:textId="6B316A7F" w:rsidR="00392B65" w:rsidRDefault="00392B65">
      <w:pPr>
        <w:pStyle w:val="TOC2"/>
        <w:rPr>
          <w:rFonts w:asciiTheme="minorHAnsi" w:eastAsiaTheme="minorEastAsia" w:hAnsiTheme="minorHAnsi" w:cstheme="minorBidi"/>
          <w:noProof/>
          <w:sz w:val="22"/>
          <w:szCs w:val="22"/>
        </w:rPr>
      </w:pPr>
      <w:r>
        <w:rPr>
          <w:noProof/>
        </w:rPr>
        <w:t>1.  Worse treatment of migrants</w:t>
      </w:r>
      <w:r>
        <w:rPr>
          <w:noProof/>
        </w:rPr>
        <w:tab/>
      </w:r>
      <w:r>
        <w:rPr>
          <w:noProof/>
        </w:rPr>
        <w:fldChar w:fldCharType="begin"/>
      </w:r>
      <w:r>
        <w:rPr>
          <w:noProof/>
        </w:rPr>
        <w:instrText xml:space="preserve"> PAGEREF _Toc63794641 \h </w:instrText>
      </w:r>
      <w:r>
        <w:rPr>
          <w:noProof/>
        </w:rPr>
      </w:r>
      <w:r>
        <w:rPr>
          <w:noProof/>
        </w:rPr>
        <w:fldChar w:fldCharType="separate"/>
      </w:r>
      <w:r>
        <w:rPr>
          <w:noProof/>
        </w:rPr>
        <w:t>9</w:t>
      </w:r>
      <w:r>
        <w:rPr>
          <w:noProof/>
        </w:rPr>
        <w:fldChar w:fldCharType="end"/>
      </w:r>
    </w:p>
    <w:p w14:paraId="67632CB2" w14:textId="76162325" w:rsidR="00392B65" w:rsidRDefault="00392B65">
      <w:pPr>
        <w:pStyle w:val="TOC3"/>
        <w:rPr>
          <w:rFonts w:asciiTheme="minorHAnsi" w:eastAsiaTheme="minorEastAsia" w:hAnsiTheme="minorHAnsi" w:cstheme="minorBidi"/>
          <w:noProof/>
          <w:sz w:val="22"/>
          <w:szCs w:val="22"/>
        </w:rPr>
      </w:pPr>
      <w:r>
        <w:rPr>
          <w:noProof/>
        </w:rPr>
        <w:t>Link:  AFF tries to increase funding to countries that have more migrants (by decreasing from those that don’t)</w:t>
      </w:r>
      <w:r>
        <w:rPr>
          <w:noProof/>
        </w:rPr>
        <w:tab/>
      </w:r>
      <w:r>
        <w:rPr>
          <w:noProof/>
        </w:rPr>
        <w:fldChar w:fldCharType="begin"/>
      </w:r>
      <w:r>
        <w:rPr>
          <w:noProof/>
        </w:rPr>
        <w:instrText xml:space="preserve"> PAGEREF _Toc63794642 \h </w:instrText>
      </w:r>
      <w:r>
        <w:rPr>
          <w:noProof/>
        </w:rPr>
      </w:r>
      <w:r>
        <w:rPr>
          <w:noProof/>
        </w:rPr>
        <w:fldChar w:fldCharType="separate"/>
      </w:r>
      <w:r>
        <w:rPr>
          <w:noProof/>
        </w:rPr>
        <w:t>9</w:t>
      </w:r>
      <w:r>
        <w:rPr>
          <w:noProof/>
        </w:rPr>
        <w:fldChar w:fldCharType="end"/>
      </w:r>
    </w:p>
    <w:p w14:paraId="62B68A5E" w14:textId="24DE05BA" w:rsidR="00392B65" w:rsidRDefault="00392B65">
      <w:pPr>
        <w:pStyle w:val="TOC3"/>
        <w:rPr>
          <w:rFonts w:asciiTheme="minorHAnsi" w:eastAsiaTheme="minorEastAsia" w:hAnsiTheme="minorHAnsi" w:cstheme="minorBidi"/>
          <w:noProof/>
          <w:sz w:val="22"/>
          <w:szCs w:val="22"/>
        </w:rPr>
      </w:pPr>
      <w:r>
        <w:rPr>
          <w:noProof/>
        </w:rPr>
        <w:t>Impact:  Worse treatment of migrants.  When EU countries get more funding for migrants, they spend it on policing and anti-immigrant policies</w:t>
      </w:r>
      <w:r>
        <w:rPr>
          <w:noProof/>
        </w:rPr>
        <w:tab/>
      </w:r>
      <w:r>
        <w:rPr>
          <w:noProof/>
        </w:rPr>
        <w:fldChar w:fldCharType="begin"/>
      </w:r>
      <w:r>
        <w:rPr>
          <w:noProof/>
        </w:rPr>
        <w:instrText xml:space="preserve"> PAGEREF _Toc63794643 \h </w:instrText>
      </w:r>
      <w:r>
        <w:rPr>
          <w:noProof/>
        </w:rPr>
      </w:r>
      <w:r>
        <w:rPr>
          <w:noProof/>
        </w:rPr>
        <w:fldChar w:fldCharType="separate"/>
      </w:r>
      <w:r>
        <w:rPr>
          <w:noProof/>
        </w:rPr>
        <w:t>9</w:t>
      </w:r>
      <w:r>
        <w:rPr>
          <w:noProof/>
        </w:rPr>
        <w:fldChar w:fldCharType="end"/>
      </w:r>
    </w:p>
    <w:p w14:paraId="0FE732F6" w14:textId="0D98B775" w:rsidR="00392B65" w:rsidRDefault="00392B65">
      <w:pPr>
        <w:pStyle w:val="TOC2"/>
        <w:rPr>
          <w:rFonts w:asciiTheme="minorHAnsi" w:eastAsiaTheme="minorEastAsia" w:hAnsiTheme="minorHAnsi" w:cstheme="minorBidi"/>
          <w:noProof/>
          <w:sz w:val="22"/>
          <w:szCs w:val="22"/>
        </w:rPr>
      </w:pPr>
      <w:r>
        <w:rPr>
          <w:noProof/>
        </w:rPr>
        <w:t>2.   Worse treatment of taxpayers / Increased human rights violations.   [This happens everywhere DA 1 doesn’t happen]</w:t>
      </w:r>
      <w:r>
        <w:rPr>
          <w:noProof/>
        </w:rPr>
        <w:tab/>
      </w:r>
      <w:r>
        <w:rPr>
          <w:noProof/>
        </w:rPr>
        <w:fldChar w:fldCharType="begin"/>
      </w:r>
      <w:r>
        <w:rPr>
          <w:noProof/>
        </w:rPr>
        <w:instrText xml:space="preserve"> PAGEREF _Toc63794644 \h </w:instrText>
      </w:r>
      <w:r>
        <w:rPr>
          <w:noProof/>
        </w:rPr>
      </w:r>
      <w:r>
        <w:rPr>
          <w:noProof/>
        </w:rPr>
        <w:fldChar w:fldCharType="separate"/>
      </w:r>
      <w:r>
        <w:rPr>
          <w:noProof/>
        </w:rPr>
        <w:t>10</w:t>
      </w:r>
      <w:r>
        <w:rPr>
          <w:noProof/>
        </w:rPr>
        <w:fldChar w:fldCharType="end"/>
      </w:r>
    </w:p>
    <w:p w14:paraId="339AAFAE" w14:textId="3D322FAF" w:rsidR="00392B65" w:rsidRDefault="00392B65">
      <w:pPr>
        <w:pStyle w:val="TOC3"/>
        <w:rPr>
          <w:rFonts w:asciiTheme="minorHAnsi" w:eastAsiaTheme="minorEastAsia" w:hAnsiTheme="minorHAnsi" w:cstheme="minorBidi"/>
          <w:noProof/>
          <w:sz w:val="22"/>
          <w:szCs w:val="22"/>
        </w:rPr>
      </w:pPr>
      <w:r>
        <w:rPr>
          <w:noProof/>
        </w:rPr>
        <w:t>Link:  AFF tries to increase funding to countries that have more migrants (by decreasing from those that don’t)</w:t>
      </w:r>
      <w:r>
        <w:rPr>
          <w:noProof/>
        </w:rPr>
        <w:tab/>
      </w:r>
      <w:r>
        <w:rPr>
          <w:noProof/>
        </w:rPr>
        <w:fldChar w:fldCharType="begin"/>
      </w:r>
      <w:r>
        <w:rPr>
          <w:noProof/>
        </w:rPr>
        <w:instrText xml:space="preserve"> PAGEREF _Toc63794645 \h </w:instrText>
      </w:r>
      <w:r>
        <w:rPr>
          <w:noProof/>
        </w:rPr>
      </w:r>
      <w:r>
        <w:rPr>
          <w:noProof/>
        </w:rPr>
        <w:fldChar w:fldCharType="separate"/>
      </w:r>
      <w:r>
        <w:rPr>
          <w:noProof/>
        </w:rPr>
        <w:t>10</w:t>
      </w:r>
      <w:r>
        <w:rPr>
          <w:noProof/>
        </w:rPr>
        <w:fldChar w:fldCharType="end"/>
      </w:r>
    </w:p>
    <w:p w14:paraId="50527569" w14:textId="159D26B8" w:rsidR="00392B65" w:rsidRDefault="00392B65">
      <w:pPr>
        <w:pStyle w:val="TOC3"/>
        <w:rPr>
          <w:rFonts w:asciiTheme="minorHAnsi" w:eastAsiaTheme="minorEastAsia" w:hAnsiTheme="minorHAnsi" w:cstheme="minorBidi"/>
          <w:noProof/>
          <w:sz w:val="22"/>
          <w:szCs w:val="22"/>
        </w:rPr>
      </w:pPr>
      <w:r>
        <w:rPr>
          <w:noProof/>
        </w:rPr>
        <w:t>Link:  EU believes immigrants have a “right” to other people’s money to guarantee them an ever increasing standard of living at government expense</w:t>
      </w:r>
      <w:r>
        <w:rPr>
          <w:noProof/>
        </w:rPr>
        <w:tab/>
      </w:r>
      <w:r>
        <w:rPr>
          <w:noProof/>
        </w:rPr>
        <w:fldChar w:fldCharType="begin"/>
      </w:r>
      <w:r>
        <w:rPr>
          <w:noProof/>
        </w:rPr>
        <w:instrText xml:space="preserve"> PAGEREF _Toc63794646 \h </w:instrText>
      </w:r>
      <w:r>
        <w:rPr>
          <w:noProof/>
        </w:rPr>
      </w:r>
      <w:r>
        <w:rPr>
          <w:noProof/>
        </w:rPr>
        <w:fldChar w:fldCharType="separate"/>
      </w:r>
      <w:r>
        <w:rPr>
          <w:noProof/>
        </w:rPr>
        <w:t>10</w:t>
      </w:r>
      <w:r>
        <w:rPr>
          <w:noProof/>
        </w:rPr>
        <w:fldChar w:fldCharType="end"/>
      </w:r>
    </w:p>
    <w:p w14:paraId="066F16C3" w14:textId="385A993A" w:rsidR="00392B65" w:rsidRDefault="00392B65">
      <w:pPr>
        <w:pStyle w:val="TOC3"/>
        <w:rPr>
          <w:rFonts w:asciiTheme="minorHAnsi" w:eastAsiaTheme="minorEastAsia" w:hAnsiTheme="minorHAnsi" w:cstheme="minorBidi"/>
          <w:noProof/>
          <w:sz w:val="22"/>
          <w:szCs w:val="22"/>
        </w:rPr>
      </w:pPr>
      <w:r>
        <w:rPr>
          <w:noProof/>
        </w:rPr>
        <w:t>Link:  Ever-expanding list of things the government has to give people (labeled as "rights") conflicts with individual liberty and freedom</w:t>
      </w:r>
      <w:r>
        <w:rPr>
          <w:noProof/>
        </w:rPr>
        <w:tab/>
      </w:r>
      <w:r>
        <w:rPr>
          <w:noProof/>
        </w:rPr>
        <w:fldChar w:fldCharType="begin"/>
      </w:r>
      <w:r>
        <w:rPr>
          <w:noProof/>
        </w:rPr>
        <w:instrText xml:space="preserve"> PAGEREF _Toc63794647 \h </w:instrText>
      </w:r>
      <w:r>
        <w:rPr>
          <w:noProof/>
        </w:rPr>
      </w:r>
      <w:r>
        <w:rPr>
          <w:noProof/>
        </w:rPr>
        <w:fldChar w:fldCharType="separate"/>
      </w:r>
      <w:r>
        <w:rPr>
          <w:noProof/>
        </w:rPr>
        <w:t>10</w:t>
      </w:r>
      <w:r>
        <w:rPr>
          <w:noProof/>
        </w:rPr>
        <w:fldChar w:fldCharType="end"/>
      </w:r>
    </w:p>
    <w:p w14:paraId="6EC8F39B" w14:textId="250D489B" w:rsidR="00392B65" w:rsidRDefault="00392B65">
      <w:pPr>
        <w:pStyle w:val="TOC3"/>
        <w:rPr>
          <w:rFonts w:asciiTheme="minorHAnsi" w:eastAsiaTheme="minorEastAsia" w:hAnsiTheme="minorHAnsi" w:cstheme="minorBidi"/>
          <w:noProof/>
          <w:sz w:val="22"/>
          <w:szCs w:val="22"/>
        </w:rPr>
      </w:pPr>
      <w:r>
        <w:rPr>
          <w:noProof/>
        </w:rPr>
        <w:t>Link:  Taking property away from one to give to another to meet some "right" they claim but cannot afford, violates property rights and no offsetting worthy goal can justify it</w:t>
      </w:r>
      <w:r>
        <w:rPr>
          <w:noProof/>
        </w:rPr>
        <w:tab/>
      </w:r>
      <w:r>
        <w:rPr>
          <w:noProof/>
        </w:rPr>
        <w:fldChar w:fldCharType="begin"/>
      </w:r>
      <w:r>
        <w:rPr>
          <w:noProof/>
        </w:rPr>
        <w:instrText xml:space="preserve"> PAGEREF _Toc63794648 \h </w:instrText>
      </w:r>
      <w:r>
        <w:rPr>
          <w:noProof/>
        </w:rPr>
      </w:r>
      <w:r>
        <w:rPr>
          <w:noProof/>
        </w:rPr>
        <w:fldChar w:fldCharType="separate"/>
      </w:r>
      <w:r>
        <w:rPr>
          <w:noProof/>
        </w:rPr>
        <w:t>11</w:t>
      </w:r>
      <w:r>
        <w:rPr>
          <w:noProof/>
        </w:rPr>
        <w:fldChar w:fldCharType="end"/>
      </w:r>
    </w:p>
    <w:p w14:paraId="2E366710" w14:textId="25F993A3" w:rsidR="00392B65" w:rsidRDefault="00392B65">
      <w:pPr>
        <w:pStyle w:val="TOC3"/>
        <w:rPr>
          <w:rFonts w:asciiTheme="minorHAnsi" w:eastAsiaTheme="minorEastAsia" w:hAnsiTheme="minorHAnsi" w:cstheme="minorBidi"/>
          <w:noProof/>
          <w:sz w:val="22"/>
          <w:szCs w:val="22"/>
        </w:rPr>
      </w:pPr>
      <w:r>
        <w:rPr>
          <w:noProof/>
        </w:rPr>
        <w:t>Impact:  All other vital human rights disappear when property rights are lost</w:t>
      </w:r>
      <w:r>
        <w:rPr>
          <w:noProof/>
        </w:rPr>
        <w:tab/>
      </w:r>
      <w:r>
        <w:rPr>
          <w:noProof/>
        </w:rPr>
        <w:fldChar w:fldCharType="begin"/>
      </w:r>
      <w:r>
        <w:rPr>
          <w:noProof/>
        </w:rPr>
        <w:instrText xml:space="preserve"> PAGEREF _Toc63794649 \h </w:instrText>
      </w:r>
      <w:r>
        <w:rPr>
          <w:noProof/>
        </w:rPr>
      </w:r>
      <w:r>
        <w:rPr>
          <w:noProof/>
        </w:rPr>
        <w:fldChar w:fldCharType="separate"/>
      </w:r>
      <w:r>
        <w:rPr>
          <w:noProof/>
        </w:rPr>
        <w:t>11</w:t>
      </w:r>
      <w:r>
        <w:rPr>
          <w:noProof/>
        </w:rPr>
        <w:fldChar w:fldCharType="end"/>
      </w:r>
    </w:p>
    <w:p w14:paraId="781C9E0F" w14:textId="653FEB61" w:rsidR="00392B65" w:rsidRDefault="00392B65">
      <w:pPr>
        <w:pStyle w:val="TOC3"/>
        <w:rPr>
          <w:rFonts w:asciiTheme="minorHAnsi" w:eastAsiaTheme="minorEastAsia" w:hAnsiTheme="minorHAnsi" w:cstheme="minorBidi"/>
          <w:noProof/>
          <w:sz w:val="22"/>
          <w:szCs w:val="22"/>
        </w:rPr>
      </w:pPr>
      <w:r>
        <w:rPr>
          <w:noProof/>
        </w:rPr>
        <w:t>Impact:  Human rights violation, corruption and injustice abound when we give people "rights" to someone else's money</w:t>
      </w:r>
      <w:r>
        <w:rPr>
          <w:noProof/>
        </w:rPr>
        <w:tab/>
      </w:r>
      <w:r>
        <w:rPr>
          <w:noProof/>
        </w:rPr>
        <w:fldChar w:fldCharType="begin"/>
      </w:r>
      <w:r>
        <w:rPr>
          <w:noProof/>
        </w:rPr>
        <w:instrText xml:space="preserve"> PAGEREF _Toc63794650 \h </w:instrText>
      </w:r>
      <w:r>
        <w:rPr>
          <w:noProof/>
        </w:rPr>
      </w:r>
      <w:r>
        <w:rPr>
          <w:noProof/>
        </w:rPr>
        <w:fldChar w:fldCharType="separate"/>
      </w:r>
      <w:r>
        <w:rPr>
          <w:noProof/>
        </w:rPr>
        <w:t>11</w:t>
      </w:r>
      <w:r>
        <w:rPr>
          <w:noProof/>
        </w:rPr>
        <w:fldChar w:fldCharType="end"/>
      </w:r>
    </w:p>
    <w:p w14:paraId="7C7E9EF4" w14:textId="72B62ABD" w:rsidR="00905409" w:rsidRDefault="00DA2F2D" w:rsidP="00090620">
      <w:pPr>
        <w:pStyle w:val="Footer"/>
        <w:jc w:val="left"/>
      </w:pPr>
      <w:r>
        <w:fldChar w:fldCharType="end"/>
      </w:r>
    </w:p>
    <w:p w14:paraId="795CA2F0" w14:textId="75F95232" w:rsidR="008440E9" w:rsidRDefault="008440E9" w:rsidP="008440E9">
      <w:pPr>
        <w:pStyle w:val="Title2"/>
        <w:outlineLvl w:val="0"/>
      </w:pPr>
      <w:bookmarkStart w:id="0" w:name="_Toc63794615"/>
      <w:bookmarkStart w:id="1" w:name="_Toc61802493"/>
      <w:r>
        <w:lastRenderedPageBreak/>
        <w:t xml:space="preserve">Negative: </w:t>
      </w:r>
      <w:r w:rsidR="00757450">
        <w:t>MFF Funding Reallocation</w:t>
      </w:r>
      <w:bookmarkEnd w:id="0"/>
    </w:p>
    <w:p w14:paraId="6541EBE1" w14:textId="188CE78B" w:rsidR="00620AEC" w:rsidRDefault="00620AEC" w:rsidP="00A86A84">
      <w:pPr>
        <w:pStyle w:val="Contention1"/>
      </w:pPr>
      <w:bookmarkStart w:id="2" w:name="_Toc63794616"/>
      <w:r>
        <w:t>INHERENCY</w:t>
      </w:r>
      <w:r w:rsidR="002D74DE">
        <w:t xml:space="preserve"> –</w:t>
      </w:r>
      <w:r w:rsidR="00543B30">
        <w:t xml:space="preserve"> </w:t>
      </w:r>
      <w:r w:rsidR="002D74DE">
        <w:t>Status Quo already has programs that are solving</w:t>
      </w:r>
      <w:bookmarkEnd w:id="2"/>
    </w:p>
    <w:p w14:paraId="61BC20BD" w14:textId="3DF2B6ED" w:rsidR="00620AEC" w:rsidRDefault="00620AEC" w:rsidP="00A86A84">
      <w:pPr>
        <w:pStyle w:val="Contention1"/>
      </w:pPr>
    </w:p>
    <w:p w14:paraId="48174642" w14:textId="3DDBF5AD" w:rsidR="005C03C7" w:rsidRPr="001E2617" w:rsidRDefault="00620AEC" w:rsidP="001E2617">
      <w:pPr>
        <w:pStyle w:val="Contention1"/>
      </w:pPr>
      <w:bookmarkStart w:id="3" w:name="_Toc63794617"/>
      <w:r w:rsidRPr="001E2617">
        <w:t>1</w:t>
      </w:r>
      <w:r w:rsidR="002D74DE" w:rsidRPr="001E2617">
        <w:t xml:space="preserve">.   </w:t>
      </w:r>
      <w:r w:rsidR="00AB3A57">
        <w:t xml:space="preserve">New </w:t>
      </w:r>
      <w:r w:rsidR="001E2617" w:rsidRPr="001E2617">
        <w:t xml:space="preserve">AMF </w:t>
      </w:r>
      <w:r w:rsidR="001E2617">
        <w:t xml:space="preserve">– Asylum &amp; Migration Fund - </w:t>
      </w:r>
      <w:r w:rsidR="001E2617" w:rsidRPr="001E2617">
        <w:t>accomplishes AFF plan in Status Quo</w:t>
      </w:r>
      <w:bookmarkEnd w:id="3"/>
    </w:p>
    <w:p w14:paraId="6463A4FB" w14:textId="2845B88F" w:rsidR="001E2617" w:rsidRPr="001E2617" w:rsidRDefault="001E2617" w:rsidP="001E2617">
      <w:pPr>
        <w:pStyle w:val="Contention2"/>
      </w:pPr>
      <w:r w:rsidRPr="001E2617">
        <w:br/>
      </w:r>
      <w:bookmarkStart w:id="4" w:name="_Toc63794618"/>
      <w:r w:rsidRPr="001E2617">
        <w:t xml:space="preserve">AMF was enacted in Dec 2020 [compare to 2018 dates in AFF plan] with </w:t>
      </w:r>
      <w:r>
        <w:t>€8.7</w:t>
      </w:r>
      <w:r w:rsidRPr="001E2617">
        <w:t xml:space="preserve"> billion</w:t>
      </w:r>
      <w:r>
        <w:t xml:space="preserve"> in funding to supplement MFF</w:t>
      </w:r>
      <w:bookmarkEnd w:id="4"/>
    </w:p>
    <w:p w14:paraId="3CD3BEF2" w14:textId="2FF7ED25" w:rsidR="001E2617" w:rsidRPr="001E2617" w:rsidRDefault="001E2617" w:rsidP="001E2617">
      <w:pPr>
        <w:pStyle w:val="Citation3"/>
      </w:pPr>
      <w:r w:rsidRPr="001E2617">
        <w:rPr>
          <w:u w:val="single"/>
        </w:rPr>
        <w:t xml:space="preserve">Tanja </w:t>
      </w:r>
      <w:proofErr w:type="spellStart"/>
      <w:r w:rsidRPr="001E2617">
        <w:rPr>
          <w:u w:val="single"/>
        </w:rPr>
        <w:t>Fajon</w:t>
      </w:r>
      <w:proofErr w:type="spellEnd"/>
      <w:r w:rsidRPr="001E2617">
        <w:rPr>
          <w:u w:val="single"/>
        </w:rPr>
        <w:t xml:space="preserve"> 2020</w:t>
      </w:r>
      <w:r w:rsidRPr="001E2617">
        <w:t xml:space="preserve"> (Rapporteur for the EU Parliament) 20 Dec 2020 PROPOSAL ESTABLISHIN</w:t>
      </w:r>
      <w:r w:rsidR="00543B30">
        <w:t>G THE ASYLUM AND MIGRATION FUND</w:t>
      </w:r>
      <w:r w:rsidRPr="001E2617">
        <w:t>“</w:t>
      </w:r>
      <w:r w:rsidR="00543B30">
        <w:t xml:space="preserve"> </w:t>
      </w:r>
      <w:r w:rsidRPr="001E2617">
        <w:t>https://www.europarl.europa.eu/legislative-train/theme-new-boost-for-jobs-growth-and-investment/file-mff-asylum-and-migration-fund#:~:text=The%20AMF%20will%20be%20allocated,References%3A&amp;text=European%20Parliament%2C%20Deal%20on%20EU,Press%20release%2C%209%20December%202020</w:t>
      </w:r>
      <w:r w:rsidR="00543B30">
        <w:t xml:space="preserve"> (accessed 9 Feb 2021)</w:t>
      </w:r>
    </w:p>
    <w:p w14:paraId="7F0D6661" w14:textId="6701AEC9" w:rsidR="001E2617" w:rsidRDefault="001E2617" w:rsidP="001E2617">
      <w:pPr>
        <w:pStyle w:val="Evidence"/>
      </w:pPr>
      <w:r w:rsidRPr="001E2617">
        <w:t>On 10 November, The European Parliament and German Presidency of the Council reached a political agreement on the 2021-2027 MFF and new own resources. On 17 December, the European Parliament gave its consent to the next multiannual financial framework. The AMF will be allocated a budget of €8.705 billion (in 2018 prices) for the 2021-2027 period.</w:t>
      </w:r>
    </w:p>
    <w:p w14:paraId="469B34DA" w14:textId="59877DEC" w:rsidR="001E2617" w:rsidRDefault="001E2617" w:rsidP="001E2617">
      <w:pPr>
        <w:pStyle w:val="Evidence"/>
      </w:pPr>
    </w:p>
    <w:p w14:paraId="3DF6A7EB" w14:textId="31F7E085" w:rsidR="001E2617" w:rsidRDefault="001E2617" w:rsidP="001E2617">
      <w:pPr>
        <w:pStyle w:val="Contention2"/>
      </w:pPr>
      <w:bookmarkStart w:id="5" w:name="_Toc63794619"/>
      <w:r>
        <w:t>AMF provides flexible response funding based on immigration flows over the coming years</w:t>
      </w:r>
      <w:bookmarkEnd w:id="5"/>
    </w:p>
    <w:p w14:paraId="57C37A74" w14:textId="2FF2AD55" w:rsidR="001E2617" w:rsidRPr="001E2617" w:rsidRDefault="00F642B5" w:rsidP="00F642B5">
      <w:pPr>
        <w:pStyle w:val="Citation3"/>
      </w:pPr>
      <w:r w:rsidRPr="001E2617">
        <w:rPr>
          <w:u w:val="single"/>
        </w:rPr>
        <w:t xml:space="preserve">Tanja </w:t>
      </w:r>
      <w:proofErr w:type="spellStart"/>
      <w:r w:rsidRPr="001E2617">
        <w:rPr>
          <w:u w:val="single"/>
        </w:rPr>
        <w:t>Fajon</w:t>
      </w:r>
      <w:proofErr w:type="spellEnd"/>
      <w:r w:rsidRPr="001E2617">
        <w:rPr>
          <w:u w:val="single"/>
        </w:rPr>
        <w:t xml:space="preserve"> 2020</w:t>
      </w:r>
      <w:r w:rsidRPr="001E2617">
        <w:t xml:space="preserve"> (Rapporteur for the EU Parliament) 20 Dec 2020 PROPOSAL ESTABLISHIN</w:t>
      </w:r>
      <w:r>
        <w:t>G THE ASYLUM AND MIGRATION FUND</w:t>
      </w:r>
      <w:r w:rsidRPr="001E2617">
        <w:t>“</w:t>
      </w:r>
      <w:r>
        <w:t xml:space="preserve"> </w:t>
      </w:r>
      <w:r w:rsidRPr="001E2617">
        <w:t>https://www.europarl.europa.eu/legislative-train/theme-new-boost-for-jobs-growth-and-investment/file-mff-asylum-and-migration-fund#:~:text=The%20AMF%20will%20be%20allocated,References%3A&amp;text=European%20Parliament%2C%20Deal%20on%20EU,Press%20release%2C%209%20December%202020</w:t>
      </w:r>
      <w:r>
        <w:t xml:space="preserve"> (accessed 9 Feb 2021)  </w:t>
      </w:r>
      <w:r w:rsidR="00F355C2">
        <w:t>(Note: The AMF budget in this card adds up to 10.5 billion euros, which is more than the 8.7 billion i</w:t>
      </w:r>
      <w:r>
        <w:t>n the first card. It’s ma</w:t>
      </w:r>
      <w:r w:rsidR="00F355C2">
        <w:t>y</w:t>
      </w:r>
      <w:r>
        <w:t xml:space="preserve"> be</w:t>
      </w:r>
      <w:r w:rsidR="00F355C2">
        <w:t xml:space="preserve"> because the first one is referring to constant 2018 value of the euro, whereas this card may be including the effects of inflation moving the numbers higher over future years)</w:t>
      </w:r>
    </w:p>
    <w:p w14:paraId="3AA0C52C" w14:textId="0C88C523" w:rsidR="001E2617" w:rsidRDefault="001E2617" w:rsidP="001E2617">
      <w:pPr>
        <w:pStyle w:val="Evidence"/>
      </w:pPr>
      <w:r w:rsidRPr="001E2617">
        <w:t>The Fund will address the continuing needs in the areas of asylum (30%), early integration (30%) and return (40%), through supporting Member States' long-term funding (EUR 6,3 billion) and responding to targeted thematic action and urgent needs (EUR 4,2 billion). Member States will receive a fixed sum of EUR 5 million and an additional amount based on a distribution criteria that reflect the needs and the pressure experienced by different Member States. The thematic facility, intended as a flexible and fast response, will be used for the following actions: specific actions; Union actions; emergency assistance; resettlement; support to Member States contributing to solidarity and responsibility efforts and European Migration network.</w:t>
      </w:r>
    </w:p>
    <w:p w14:paraId="75FF7733" w14:textId="77777777" w:rsidR="00F642B5" w:rsidRPr="001E2617" w:rsidRDefault="00F642B5" w:rsidP="001E2617">
      <w:pPr>
        <w:pStyle w:val="Evidence"/>
      </w:pPr>
    </w:p>
    <w:p w14:paraId="2AC8289A" w14:textId="288CD4AD" w:rsidR="001E5BD2" w:rsidRDefault="001E5BD2" w:rsidP="00A86A84">
      <w:pPr>
        <w:pStyle w:val="Contention1"/>
      </w:pPr>
      <w:bookmarkStart w:id="6" w:name="_Toc63794620"/>
      <w:r>
        <w:t>HARMS / SIGNIFICANCE</w:t>
      </w:r>
      <w:bookmarkEnd w:id="6"/>
    </w:p>
    <w:p w14:paraId="0BA759D5" w14:textId="3DB6F399" w:rsidR="001E5BD2" w:rsidRDefault="001E5BD2" w:rsidP="00BA13DE">
      <w:pPr>
        <w:pStyle w:val="Contention1"/>
      </w:pPr>
    </w:p>
    <w:p w14:paraId="18E59CF8" w14:textId="11EE180B" w:rsidR="00314534" w:rsidRDefault="00925618" w:rsidP="00925618">
      <w:pPr>
        <w:pStyle w:val="Contention1"/>
        <w:tabs>
          <w:tab w:val="left" w:pos="2448"/>
        </w:tabs>
      </w:pPr>
      <w:bookmarkStart w:id="7" w:name="_Toc63794621"/>
      <w:r>
        <w:t>1</w:t>
      </w:r>
      <w:r w:rsidR="00BA13DE">
        <w:t xml:space="preserve">.  </w:t>
      </w:r>
      <w:r w:rsidR="003A236F">
        <w:t>There aren’t any</w:t>
      </w:r>
      <w:bookmarkEnd w:id="7"/>
    </w:p>
    <w:p w14:paraId="60B75C7E" w14:textId="5F6F6361" w:rsidR="00314534" w:rsidRDefault="00314534" w:rsidP="00925618">
      <w:pPr>
        <w:pStyle w:val="Contention1"/>
        <w:tabs>
          <w:tab w:val="left" w:pos="2448"/>
        </w:tabs>
      </w:pPr>
    </w:p>
    <w:p w14:paraId="17E14773" w14:textId="7E187745" w:rsidR="00071EB8" w:rsidRDefault="00071EB8" w:rsidP="00071EB8">
      <w:pPr>
        <w:pStyle w:val="Contention2"/>
      </w:pPr>
      <w:bookmarkStart w:id="8" w:name="_Toc63794622"/>
      <w:r>
        <w:t>It isn’t a harm until someone gets harmed</w:t>
      </w:r>
      <w:bookmarkEnd w:id="8"/>
    </w:p>
    <w:bookmarkEnd w:id="1"/>
    <w:p w14:paraId="04C76874" w14:textId="46DF0F07" w:rsidR="00BA13DE" w:rsidRDefault="00071EB8" w:rsidP="003A236F">
      <w:pPr>
        <w:pStyle w:val="Evidence"/>
      </w:pPr>
      <w:r>
        <w:t>“Countries don’t have enough money” or “Countries have too much money” may be interesting facts, but they’re not harms.  Who was hurt in those countries?  Did someone starve or die of frostbite?  Did someone’s back get thrown out by having a wallet with too much money in it?  Until they read evidence of someone getting harmed, there’s no harm.</w:t>
      </w:r>
    </w:p>
    <w:p w14:paraId="76504F44" w14:textId="0894531A" w:rsidR="000661C5" w:rsidRDefault="000661C5" w:rsidP="003A236F">
      <w:pPr>
        <w:pStyle w:val="Evidence"/>
      </w:pPr>
    </w:p>
    <w:p w14:paraId="3D44D474" w14:textId="48B73E5E" w:rsidR="000661C5" w:rsidRDefault="000661C5" w:rsidP="000661C5">
      <w:pPr>
        <w:pStyle w:val="Contention1"/>
      </w:pPr>
      <w:bookmarkStart w:id="9" w:name="_Toc63794623"/>
      <w:r>
        <w:lastRenderedPageBreak/>
        <w:t>2.  Other funds available besides MFF</w:t>
      </w:r>
      <w:bookmarkEnd w:id="9"/>
    </w:p>
    <w:p w14:paraId="38E06A73" w14:textId="1E1AE81D" w:rsidR="000661C5" w:rsidRDefault="000661C5" w:rsidP="000661C5">
      <w:pPr>
        <w:pStyle w:val="Contention1"/>
      </w:pPr>
    </w:p>
    <w:p w14:paraId="4945CADC" w14:textId="615D5AEA" w:rsidR="000661C5" w:rsidRDefault="000661C5" w:rsidP="000661C5">
      <w:pPr>
        <w:pStyle w:val="Contention2"/>
      </w:pPr>
      <w:bookmarkStart w:id="10" w:name="_Toc63794624"/>
      <w:r>
        <w:t>AFF’s expert who says MFF budget is “out of step” also says other funds are available a little further on in the same context</w:t>
      </w:r>
      <w:bookmarkEnd w:id="10"/>
    </w:p>
    <w:p w14:paraId="70CC2B18" w14:textId="77777777" w:rsidR="000661C5" w:rsidRDefault="000661C5" w:rsidP="000661C5">
      <w:pPr>
        <w:pStyle w:val="Citation3"/>
      </w:pPr>
      <w:r>
        <w:t xml:space="preserve"> </w:t>
      </w:r>
      <w:r>
        <w:rPr>
          <w:u w:val="single"/>
        </w:rPr>
        <w:t xml:space="preserve">(AFFIRMATIVE SOURCE) </w:t>
      </w:r>
      <w:r w:rsidRPr="00EA063B">
        <w:rPr>
          <w:u w:val="single"/>
        </w:rPr>
        <w:t xml:space="preserve">Prof. </w:t>
      </w:r>
      <w:proofErr w:type="spellStart"/>
      <w:r w:rsidRPr="00EA063B">
        <w:rPr>
          <w:u w:val="single"/>
        </w:rPr>
        <w:t>Nicos</w:t>
      </w:r>
      <w:proofErr w:type="spellEnd"/>
      <w:r w:rsidRPr="00EA063B">
        <w:rPr>
          <w:u w:val="single"/>
        </w:rPr>
        <w:t xml:space="preserve"> </w:t>
      </w:r>
      <w:proofErr w:type="spellStart"/>
      <w:r w:rsidRPr="00EA063B">
        <w:rPr>
          <w:u w:val="single"/>
        </w:rPr>
        <w:t>Trimikliniotis</w:t>
      </w:r>
      <w:proofErr w:type="spellEnd"/>
      <w:r w:rsidRPr="00EA063B">
        <w:rPr>
          <w:u w:val="single"/>
        </w:rPr>
        <w:t xml:space="preserve"> 2020</w:t>
      </w:r>
      <w:r w:rsidRPr="00EA063B">
        <w:t xml:space="preserve">. (professor of sociology at the School of Humanities and Social Sciences, University of Nicosia, Cyprus) (no month given in publication date) Migration and the Refugee Dissensus in Europe: Borders, Security and Austerity </w:t>
      </w:r>
      <w:hyperlink r:id="rId8" w:anchor="v=onepage&amp;q=%22the%20EU%20parliament%20committee%20on%20budgets%20regarding%20funding%20notes%22&amp;f=false" w:history="1">
        <w:r w:rsidRPr="00A52955">
          <w:rPr>
            <w:rStyle w:val="Hyperlink"/>
          </w:rPr>
          <w:t>https://books.google.com/books?id=fsyxDwAAQBAJ&amp;pg=PT112&amp;lpg=PT112&amp;dq=%22the+EU+parliament+committee+on+budgets+regarding+funding+notes%22&amp;source=bl&amp;ots=GIKD235P0J&amp;sig=ACfU3U3FxzVcnGW8TH4qbnn-_xuTj8gCdA&amp;hl=en&amp;sa=X&amp;ved=2ahUKEwjJwdGH1NvuAhXDneAKHQOxBm8Q6AEwAHoECAIQAg#v=onepage&amp;q=%22the%20EU%20parliament%20committee%20on%20budgets%20regarding%20funding%20notes%22&amp;f=false</w:t>
        </w:r>
      </w:hyperlink>
      <w:r>
        <w:t xml:space="preserve">   (access date 8 Feb 2021) </w:t>
      </w:r>
    </w:p>
    <w:p w14:paraId="73E4EE89" w14:textId="2CD5D609" w:rsidR="000661C5" w:rsidRPr="003A3F1B" w:rsidRDefault="000661C5" w:rsidP="000661C5">
      <w:pPr>
        <w:pStyle w:val="Evidence"/>
      </w:pPr>
      <w:r>
        <w:rPr>
          <w:noProof/>
          <w:lang w:eastAsia="en-US"/>
        </w:rPr>
        <w:drawing>
          <wp:inline distT="0" distB="0" distL="0" distR="0" wp14:anchorId="20172972" wp14:editId="23533CA8">
            <wp:extent cx="4727986" cy="90553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355" cy="910971"/>
                    </a:xfrm>
                    <a:prstGeom prst="rect">
                      <a:avLst/>
                    </a:prstGeom>
                    <a:noFill/>
                    <a:ln>
                      <a:noFill/>
                    </a:ln>
                  </pic:spPr>
                </pic:pic>
              </a:graphicData>
            </a:graphic>
          </wp:inline>
        </w:drawing>
      </w:r>
    </w:p>
    <w:p w14:paraId="5C880688" w14:textId="77777777" w:rsidR="004C28DF" w:rsidRPr="004C28DF" w:rsidRDefault="004C28DF" w:rsidP="004C28DF">
      <w:pPr>
        <w:pStyle w:val="Evidence"/>
      </w:pPr>
    </w:p>
    <w:p w14:paraId="3B5BC244" w14:textId="2FFCA097" w:rsidR="001A1CE2" w:rsidRDefault="001A1CE2" w:rsidP="005D1532">
      <w:pPr>
        <w:pStyle w:val="Contention1"/>
      </w:pPr>
      <w:bookmarkStart w:id="11" w:name="_Toc63794625"/>
      <w:r>
        <w:t>SOLVENCY</w:t>
      </w:r>
      <w:bookmarkEnd w:id="11"/>
    </w:p>
    <w:p w14:paraId="09A9929B" w14:textId="51C6422A" w:rsidR="00F355C2" w:rsidRDefault="00F355C2" w:rsidP="005D1532">
      <w:pPr>
        <w:pStyle w:val="Contention1"/>
      </w:pPr>
    </w:p>
    <w:p w14:paraId="3DE53859" w14:textId="39D9CF0F" w:rsidR="00F355C2" w:rsidRDefault="00F355C2" w:rsidP="005D1532">
      <w:pPr>
        <w:pStyle w:val="Contention1"/>
      </w:pPr>
      <w:bookmarkStart w:id="12" w:name="_Toc63794626"/>
      <w:r>
        <w:t>1.   Many other reforms</w:t>
      </w:r>
      <w:r w:rsidR="00A578B0">
        <w:t xml:space="preserve"> (at Member State level)</w:t>
      </w:r>
      <w:r>
        <w:t xml:space="preserve"> needed to solve</w:t>
      </w:r>
      <w:bookmarkEnd w:id="12"/>
    </w:p>
    <w:p w14:paraId="6507FAF6" w14:textId="7B4AAEC9" w:rsidR="00F355C2" w:rsidRDefault="00F355C2" w:rsidP="005D1532">
      <w:pPr>
        <w:pStyle w:val="Contention1"/>
      </w:pPr>
    </w:p>
    <w:p w14:paraId="7B203EF7" w14:textId="450A5A01" w:rsidR="00F355C2" w:rsidRDefault="00A578B0" w:rsidP="00F355C2">
      <w:pPr>
        <w:pStyle w:val="Contention2"/>
      </w:pPr>
      <w:bookmarkStart w:id="13" w:name="_Toc63794627"/>
      <w:r>
        <w:t xml:space="preserve">EU Commission lists 5 other reforms Member States </w:t>
      </w:r>
      <w:r w:rsidR="00071EB8">
        <w:t>should take</w:t>
      </w:r>
      <w:r>
        <w:t xml:space="preserve"> for funds to meet needs: 1) integration policy framework 2) labor market integration  3) education  4) housing discrimination  5) fragmented policy departments</w:t>
      </w:r>
      <w:bookmarkEnd w:id="13"/>
    </w:p>
    <w:p w14:paraId="39563C7D" w14:textId="16133100" w:rsidR="00A578B0" w:rsidRDefault="00A578B0" w:rsidP="00A578B0">
      <w:pPr>
        <w:pStyle w:val="Citation3"/>
      </w:pPr>
      <w:r w:rsidRPr="00A578B0">
        <w:rPr>
          <w:u w:val="single"/>
        </w:rPr>
        <w:t>European Union Commission 2018</w:t>
      </w:r>
      <w:r>
        <w:t xml:space="preserve">. (agency of the EU government) TOOLKIT ON THE USE OF EU FUNDS FOR THE INTEGRATION OF PEOPLE WITH A MIGRANT BACKGROUND, Jan 2018 </w:t>
      </w:r>
      <w:hyperlink r:id="rId10" w:history="1">
        <w:r w:rsidRPr="00A52955">
          <w:rPr>
            <w:rStyle w:val="Hyperlink"/>
          </w:rPr>
          <w:t>file:///C:/Users/vth/Downloads/toolkit-integration-of-migrants.pdf</w:t>
        </w:r>
      </w:hyperlink>
      <w:r>
        <w:t xml:space="preserve"> (accessed 8 Feb 2021)</w:t>
      </w:r>
    </w:p>
    <w:p w14:paraId="5D1D9CB5" w14:textId="70AE6839" w:rsidR="00F355C2" w:rsidRDefault="00F355C2" w:rsidP="00A578B0">
      <w:pPr>
        <w:pStyle w:val="Evidence"/>
      </w:pPr>
      <w:r w:rsidRPr="00A578B0">
        <w:rPr>
          <w:u w:val="single"/>
        </w:rPr>
        <w:t xml:space="preserve">To </w:t>
      </w:r>
      <w:proofErr w:type="spellStart"/>
      <w:r w:rsidRPr="00A578B0">
        <w:rPr>
          <w:u w:val="single"/>
        </w:rPr>
        <w:t>maximise</w:t>
      </w:r>
      <w:proofErr w:type="spellEnd"/>
      <w:r w:rsidRPr="00A578B0">
        <w:rPr>
          <w:u w:val="single"/>
        </w:rPr>
        <w:t xml:space="preserve"> the synergies between the EU funds, an integration policy framework is recommended at national, regional and local level encompassing all the different thematic fields where people with a migrant background may face challenges.</w:t>
      </w:r>
      <w:r w:rsidRPr="00A578B0">
        <w:t xml:space="preserve"> This may fall under the responsibility of the national, regional or local policy departments. </w:t>
      </w:r>
      <w:r w:rsidRPr="00A578B0">
        <w:rPr>
          <w:u w:val="single"/>
        </w:rPr>
        <w:t>The national/regional/local strategic policy framework should also t</w:t>
      </w:r>
      <w:r w:rsidR="00A578B0" w:rsidRPr="00A578B0">
        <w:rPr>
          <w:u w:val="single"/>
        </w:rPr>
        <w:t xml:space="preserve">ake into consideration Country </w:t>
      </w:r>
      <w:r w:rsidRPr="00A578B0">
        <w:rPr>
          <w:u w:val="single"/>
        </w:rPr>
        <w:t xml:space="preserve"> Specific Recommendations (CSRs)</w:t>
      </w:r>
      <w:r w:rsidRPr="00A578B0">
        <w:t xml:space="preserve">. In fact, since 2011, within the scope of the European Semester process, </w:t>
      </w:r>
      <w:r w:rsidRPr="00A578B0">
        <w:rPr>
          <w:u w:val="single"/>
        </w:rPr>
        <w:t xml:space="preserve">several challenges have been identified in the CSRs with specific reference to people with a migrant background in the areas of </w:t>
      </w:r>
      <w:proofErr w:type="spellStart"/>
      <w:r w:rsidRPr="00A578B0">
        <w:rPr>
          <w:u w:val="single"/>
        </w:rPr>
        <w:t>labour</w:t>
      </w:r>
      <w:proofErr w:type="spellEnd"/>
      <w:r w:rsidRPr="00A578B0">
        <w:rPr>
          <w:u w:val="single"/>
        </w:rPr>
        <w:t xml:space="preserve"> market integration, equal participation into quality education, protection from discr</w:t>
      </w:r>
      <w:r w:rsidR="00A578B0" w:rsidRPr="00A578B0">
        <w:rPr>
          <w:u w:val="single"/>
        </w:rPr>
        <w:t>imination and access to housing</w:t>
      </w:r>
      <w:r w:rsidRPr="00A578B0">
        <w:rPr>
          <w:u w:val="single"/>
        </w:rPr>
        <w:t xml:space="preserve">. Funding authorities may consider working with policymakers to develop these strategic policy frameworks. At times, the policy of a Member State is not collated in one document but may be fragmented across different sectors (e.g. housing, education, employment, etc.). Where fragmented policies occur, funding authorities may also support the relevant departments in policymaking. If strategic policy frameworks are updated, funding authorities should consider the potential need to adjust the EU funds </w:t>
      </w:r>
      <w:proofErr w:type="spellStart"/>
      <w:r w:rsidRPr="00A578B0">
        <w:rPr>
          <w:u w:val="single"/>
        </w:rPr>
        <w:t>programmes</w:t>
      </w:r>
      <w:proofErr w:type="spellEnd"/>
      <w:r w:rsidRPr="00A578B0">
        <w:rPr>
          <w:u w:val="single"/>
        </w:rPr>
        <w:t>. This closer cooperation between the funding and policy departments would enable a better alignment between the funding and policy objectives</w:t>
      </w:r>
      <w:r w:rsidRPr="00A578B0">
        <w:t>.</w:t>
      </w:r>
    </w:p>
    <w:p w14:paraId="6DE13A68" w14:textId="2B22455F" w:rsidR="00EA063B" w:rsidRDefault="00EA063B" w:rsidP="00A578B0">
      <w:pPr>
        <w:pStyle w:val="Evidence"/>
      </w:pPr>
    </w:p>
    <w:p w14:paraId="5CCC2A0C" w14:textId="65058484" w:rsidR="00EA063B" w:rsidRDefault="00EA063B" w:rsidP="00EA063B">
      <w:pPr>
        <w:pStyle w:val="Contention1"/>
      </w:pPr>
      <w:bookmarkStart w:id="14" w:name="_Toc63794628"/>
      <w:r>
        <w:lastRenderedPageBreak/>
        <w:t xml:space="preserve">2.  </w:t>
      </w:r>
      <w:r w:rsidR="00071EB8">
        <w:t xml:space="preserve">Affected </w:t>
      </w:r>
      <w:r>
        <w:t>Member States don’t want the money</w:t>
      </w:r>
      <w:r w:rsidR="00071EB8">
        <w:t xml:space="preserve"> and won’t take it</w:t>
      </w:r>
      <w:bookmarkEnd w:id="14"/>
    </w:p>
    <w:p w14:paraId="4ECEDCA8" w14:textId="31C180E0" w:rsidR="00EA063B" w:rsidRDefault="00EA063B" w:rsidP="00EA063B">
      <w:pPr>
        <w:pStyle w:val="Contention1"/>
      </w:pPr>
    </w:p>
    <w:p w14:paraId="6779DFAC" w14:textId="5A21CA50" w:rsidR="00EA063B" w:rsidRDefault="00EA063B" w:rsidP="00EA063B">
      <w:pPr>
        <w:pStyle w:val="Contention2"/>
      </w:pPr>
      <w:bookmarkStart w:id="15" w:name="_Toc63794629"/>
      <w:r>
        <w:t>AFF’s own source</w:t>
      </w:r>
      <w:r w:rsidR="00071EB8">
        <w:t xml:space="preserve"> about the</w:t>
      </w:r>
      <w:r>
        <w:t xml:space="preserve"> “</w:t>
      </w:r>
      <w:r w:rsidR="00071EB8">
        <w:t>out of step</w:t>
      </w:r>
      <w:r>
        <w:t xml:space="preserve">” </w:t>
      </w:r>
      <w:r w:rsidR="00071EB8">
        <w:t>budget</w:t>
      </w:r>
      <w:r>
        <w:t xml:space="preserve"> </w:t>
      </w:r>
      <w:r w:rsidR="00071EB8">
        <w:t>goes on to say</w:t>
      </w:r>
      <w:r>
        <w:t xml:space="preserve"> Member States </w:t>
      </w:r>
      <w:r w:rsidR="00071EB8">
        <w:t xml:space="preserve">having </w:t>
      </w:r>
      <w:r>
        <w:t>a lot of migrants don’t really want more money</w:t>
      </w:r>
      <w:bookmarkEnd w:id="15"/>
    </w:p>
    <w:p w14:paraId="3E6AE5F6" w14:textId="3C15F7B7" w:rsidR="00EA063B" w:rsidRDefault="00071EB8" w:rsidP="00EA063B">
      <w:pPr>
        <w:pStyle w:val="Citation3"/>
      </w:pPr>
      <w:r>
        <w:rPr>
          <w:u w:val="single"/>
        </w:rPr>
        <w:t xml:space="preserve">(AFFIRMATIVE SOURCE) </w:t>
      </w:r>
      <w:r w:rsidR="00EA063B" w:rsidRPr="00EA063B">
        <w:rPr>
          <w:u w:val="single"/>
        </w:rPr>
        <w:t xml:space="preserve">Prof. </w:t>
      </w:r>
      <w:proofErr w:type="spellStart"/>
      <w:r w:rsidR="00EA063B" w:rsidRPr="00EA063B">
        <w:rPr>
          <w:u w:val="single"/>
        </w:rPr>
        <w:t>Nicos</w:t>
      </w:r>
      <w:proofErr w:type="spellEnd"/>
      <w:r w:rsidR="00EA063B" w:rsidRPr="00EA063B">
        <w:rPr>
          <w:u w:val="single"/>
        </w:rPr>
        <w:t xml:space="preserve"> </w:t>
      </w:r>
      <w:proofErr w:type="spellStart"/>
      <w:r w:rsidR="00EA063B" w:rsidRPr="00EA063B">
        <w:rPr>
          <w:u w:val="single"/>
        </w:rPr>
        <w:t>Trimikliniotis</w:t>
      </w:r>
      <w:proofErr w:type="spellEnd"/>
      <w:r w:rsidR="00EA063B" w:rsidRPr="00EA063B">
        <w:rPr>
          <w:u w:val="single"/>
        </w:rPr>
        <w:t xml:space="preserve"> 2020</w:t>
      </w:r>
      <w:r w:rsidR="00EA063B" w:rsidRPr="00EA063B">
        <w:t xml:space="preserve">. (professor of sociology at the School of Humanities and Social Sciences, University of Nicosia, Cyprus) (no month given in publication date) Migration and the Refugee Dissensus in Europe: Borders, Security and Austerity </w:t>
      </w:r>
      <w:hyperlink r:id="rId11" w:anchor="v=onepage&amp;q=%22the%20EU%20parliament%20committee%20on%20budgets%20regarding%20funding%20notes%22&amp;f=false" w:history="1">
        <w:r w:rsidR="00EA063B" w:rsidRPr="00A52955">
          <w:rPr>
            <w:rStyle w:val="Hyperlink"/>
          </w:rPr>
          <w:t>https://books.google.com/books?id=fsyxDwAAQBAJ&amp;pg=PT112&amp;lpg=PT112&amp;dq=%22the+EU+parliament+committee+on+budgets+regarding+funding+notes%22&amp;source=bl&amp;ots=GIKD235P0J&amp;sig=ACfU3U3FxzVcnGW8TH4qbnn-_xuTj8gCdA&amp;hl=en&amp;sa=X&amp;ved=2ahUKEwjJwdGH1NvuAhXDneAKHQOxBm8Q6AEwAHoECAIQAg#v=onepage&amp;q=%22the%20EU%20parliament%20committee%20on%20budgets%20regarding%20funding%20notes%22&amp;f=false</w:t>
        </w:r>
      </w:hyperlink>
      <w:r w:rsidR="00EA063B">
        <w:t xml:space="preserve">   (access date 8 Feb 2021) </w:t>
      </w:r>
    </w:p>
    <w:p w14:paraId="31CCE932" w14:textId="5FE5C62F" w:rsidR="00071EB8" w:rsidRDefault="00071EB8" w:rsidP="00071EB8">
      <w:pPr>
        <w:pStyle w:val="Evidence"/>
        <w:rPr>
          <w:lang w:eastAsia="en-US"/>
        </w:rPr>
      </w:pPr>
      <w:r w:rsidRPr="00071EB8">
        <w:rPr>
          <w:noProof/>
          <w:lang w:eastAsia="en-US"/>
        </w:rPr>
        <w:drawing>
          <wp:inline distT="0" distB="0" distL="0" distR="0" wp14:anchorId="6B015096" wp14:editId="4E0F780F">
            <wp:extent cx="4582758" cy="2227240"/>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6256" cy="2233800"/>
                    </a:xfrm>
                    <a:prstGeom prst="rect">
                      <a:avLst/>
                    </a:prstGeom>
                    <a:noFill/>
                    <a:ln>
                      <a:noFill/>
                    </a:ln>
                  </pic:spPr>
                </pic:pic>
              </a:graphicData>
            </a:graphic>
          </wp:inline>
        </w:drawing>
      </w:r>
    </w:p>
    <w:p w14:paraId="0CF0E32D" w14:textId="0EB62628" w:rsidR="00071EB8" w:rsidRDefault="00071EB8" w:rsidP="00071EB8">
      <w:pPr>
        <w:pStyle w:val="Evidence"/>
        <w:rPr>
          <w:lang w:eastAsia="en-US"/>
        </w:rPr>
      </w:pPr>
    </w:p>
    <w:p w14:paraId="7CE288EC" w14:textId="5C1C617A" w:rsidR="00071EB8" w:rsidRDefault="00071EB8" w:rsidP="00071EB8">
      <w:pPr>
        <w:pStyle w:val="Contention2"/>
      </w:pPr>
      <w:bookmarkStart w:id="16" w:name="_Toc63794630"/>
      <w:r>
        <w:t>Impact:  AFF’s own source says plan won’t solve</w:t>
      </w:r>
      <w:bookmarkEnd w:id="16"/>
    </w:p>
    <w:p w14:paraId="47D46CCC" w14:textId="6EF7A80D" w:rsidR="00071EB8" w:rsidRDefault="00071EB8" w:rsidP="00071EB8">
      <w:pPr>
        <w:pStyle w:val="Evidence"/>
      </w:pPr>
      <w:r>
        <w:t>Reallocating funding so that countries with extra migrants get extra money won’t work, according to their source, because those countries don’t want the money and won’t spend it because their political priorities have shifted.</w:t>
      </w:r>
    </w:p>
    <w:p w14:paraId="2DF6F455" w14:textId="05F64D33" w:rsidR="00A876A2" w:rsidRDefault="00A876A2" w:rsidP="00071EB8">
      <w:pPr>
        <w:pStyle w:val="Evidence"/>
      </w:pPr>
    </w:p>
    <w:p w14:paraId="311D1758" w14:textId="6C9A49AB" w:rsidR="00071EB8" w:rsidRDefault="00166B69" w:rsidP="009B64E0">
      <w:pPr>
        <w:pStyle w:val="Contention1"/>
      </w:pPr>
      <w:bookmarkStart w:id="17" w:name="_Toc63794631"/>
      <w:r>
        <w:lastRenderedPageBreak/>
        <w:t>3</w:t>
      </w:r>
      <w:r w:rsidR="00071EB8">
        <w:t>.   EU Member States’ attitudes block effective use of funds</w:t>
      </w:r>
      <w:bookmarkEnd w:id="17"/>
    </w:p>
    <w:p w14:paraId="45D4ACDA" w14:textId="2E8D79EB" w:rsidR="00071EB8" w:rsidRDefault="00071EB8" w:rsidP="009B64E0">
      <w:pPr>
        <w:pStyle w:val="Contention1"/>
      </w:pPr>
    </w:p>
    <w:p w14:paraId="048B035E" w14:textId="15C6044D" w:rsidR="00166B69" w:rsidRDefault="00166B69" w:rsidP="00166B69">
      <w:pPr>
        <w:pStyle w:val="Contention2"/>
      </w:pPr>
      <w:bookmarkStart w:id="18" w:name="_Toc63794632"/>
      <w:r>
        <w:t>Affirmative source admits:  EU Member States have anti-immigrant attitudes, so they won’t spend allocated funds for anything helpful on immigration</w:t>
      </w:r>
      <w:bookmarkEnd w:id="18"/>
    </w:p>
    <w:p w14:paraId="22BD1558" w14:textId="77777777" w:rsidR="00166B69" w:rsidRDefault="00166B69" w:rsidP="00166B69">
      <w:pPr>
        <w:pStyle w:val="Citation3"/>
      </w:pPr>
      <w:r>
        <w:rPr>
          <w:u w:val="single"/>
        </w:rPr>
        <w:t xml:space="preserve">(AFFIRMATIVE SOURCE) </w:t>
      </w:r>
      <w:r w:rsidRPr="00EA063B">
        <w:rPr>
          <w:u w:val="single"/>
        </w:rPr>
        <w:t xml:space="preserve">Prof. </w:t>
      </w:r>
      <w:proofErr w:type="spellStart"/>
      <w:r w:rsidRPr="00EA063B">
        <w:rPr>
          <w:u w:val="single"/>
        </w:rPr>
        <w:t>Nicos</w:t>
      </w:r>
      <w:proofErr w:type="spellEnd"/>
      <w:r w:rsidRPr="00EA063B">
        <w:rPr>
          <w:u w:val="single"/>
        </w:rPr>
        <w:t xml:space="preserve"> </w:t>
      </w:r>
      <w:proofErr w:type="spellStart"/>
      <w:r w:rsidRPr="00EA063B">
        <w:rPr>
          <w:u w:val="single"/>
        </w:rPr>
        <w:t>Trimikliniotis</w:t>
      </w:r>
      <w:proofErr w:type="spellEnd"/>
      <w:r w:rsidRPr="00EA063B">
        <w:rPr>
          <w:u w:val="single"/>
        </w:rPr>
        <w:t xml:space="preserve"> 2020</w:t>
      </w:r>
      <w:r w:rsidRPr="00EA063B">
        <w:t xml:space="preserve">. (professor of sociology at the School of Humanities and Social Sciences, University of Nicosia, Cyprus) (no month given in publication date) Migration and the Refugee Dissensus in Europe: Borders, Security and Austerity </w:t>
      </w:r>
      <w:hyperlink r:id="rId13" w:anchor="v=onepage&amp;q=%22the%20EU%20parliament%20committee%20on%20budgets%20regarding%20funding%20notes%22&amp;f=false" w:history="1">
        <w:r w:rsidRPr="00A52955">
          <w:rPr>
            <w:rStyle w:val="Hyperlink"/>
          </w:rPr>
          <w:t>https://books.google.com/books?id=fsyxDwAAQBAJ&amp;pg=PT112&amp;lpg=PT112&amp;dq=%22the+EU+parliament+committee+on+budgets+regarding+funding+notes%22&amp;source=bl&amp;ots=GIKD235P0J&amp;sig=ACfU3U3FxzVcnGW8TH4qbnn-_xuTj8gCdA&amp;hl=en&amp;sa=X&amp;ved=2ahUKEwjJwdGH1NvuAhXDneAKHQOxBm8Q6AEwAHoECAIQAg#v=onepage&amp;q=%22the%20EU%20parliament%20committee%20on%20budgets%20regarding%20funding%20notes%22&amp;f=false</w:t>
        </w:r>
      </w:hyperlink>
      <w:r>
        <w:t xml:space="preserve">   (access date 8 Feb 2021) </w:t>
      </w:r>
    </w:p>
    <w:p w14:paraId="1D2C0630" w14:textId="57B1B025" w:rsidR="00071EB8" w:rsidRDefault="00071EB8" w:rsidP="00071EB8">
      <w:pPr>
        <w:pStyle w:val="Evidence"/>
      </w:pPr>
      <w:r>
        <w:rPr>
          <w:noProof/>
          <w:lang w:eastAsia="en-US"/>
        </w:rPr>
        <w:drawing>
          <wp:inline distT="0" distB="0" distL="0" distR="0" wp14:anchorId="6DCB7CA3" wp14:editId="05918BF3">
            <wp:extent cx="3985708" cy="26645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539" cy="2675148"/>
                    </a:xfrm>
                    <a:prstGeom prst="rect">
                      <a:avLst/>
                    </a:prstGeom>
                    <a:noFill/>
                    <a:ln>
                      <a:noFill/>
                    </a:ln>
                  </pic:spPr>
                </pic:pic>
              </a:graphicData>
            </a:graphic>
          </wp:inline>
        </w:drawing>
      </w:r>
    </w:p>
    <w:p w14:paraId="0D0A361F" w14:textId="70442F9F" w:rsidR="00071EB8" w:rsidRDefault="00071EB8" w:rsidP="009B64E0">
      <w:pPr>
        <w:pStyle w:val="Contention1"/>
      </w:pPr>
    </w:p>
    <w:p w14:paraId="4F7B44C7" w14:textId="77777777" w:rsidR="0099772F" w:rsidRDefault="0099772F">
      <w:pPr>
        <w:rPr>
          <w:rFonts w:eastAsia="Times New Roman"/>
          <w:b/>
          <w:bCs/>
          <w:color w:val="000000"/>
          <w:sz w:val="20"/>
          <w:szCs w:val="20"/>
          <w:lang w:eastAsia="fr-FR"/>
        </w:rPr>
      </w:pPr>
      <w:r>
        <w:br w:type="page"/>
      </w:r>
    </w:p>
    <w:p w14:paraId="02E3E6D1" w14:textId="54B872F5" w:rsidR="00361A88" w:rsidRDefault="00361A88" w:rsidP="009B64E0">
      <w:pPr>
        <w:pStyle w:val="Contention1"/>
      </w:pPr>
      <w:bookmarkStart w:id="19" w:name="_Toc63794633"/>
      <w:r>
        <w:lastRenderedPageBreak/>
        <w:t xml:space="preserve">4.  </w:t>
      </w:r>
      <w:r w:rsidR="003C38E9">
        <w:t>Funding allocation by migrant count is impossible</w:t>
      </w:r>
      <w:bookmarkEnd w:id="19"/>
    </w:p>
    <w:p w14:paraId="50C20E03" w14:textId="41C2C560" w:rsidR="00361A88" w:rsidRDefault="00361A88" w:rsidP="009B64E0">
      <w:pPr>
        <w:pStyle w:val="Contention1"/>
      </w:pPr>
    </w:p>
    <w:p w14:paraId="681ABE94" w14:textId="6412A9D0" w:rsidR="00361A88" w:rsidRDefault="0099772F" w:rsidP="00361A88">
      <w:pPr>
        <w:pStyle w:val="Contention2"/>
      </w:pPr>
      <w:bookmarkStart w:id="20" w:name="_Toc63794634"/>
      <w:r>
        <w:t>E</w:t>
      </w:r>
      <w:r w:rsidR="002E0601">
        <w:t>ach country counts “migrants” differently</w:t>
      </w:r>
      <w:r>
        <w:t>, so it’s “essentially impossible to determine” whether money is spent correctly</w:t>
      </w:r>
      <w:bookmarkEnd w:id="20"/>
    </w:p>
    <w:p w14:paraId="446292CB" w14:textId="3DBE6B1A" w:rsidR="00361A88" w:rsidRDefault="002E0601" w:rsidP="002E0601">
      <w:pPr>
        <w:pStyle w:val="Constructive"/>
        <w:spacing w:line="240" w:lineRule="auto"/>
        <w:rPr>
          <w:b/>
        </w:rPr>
      </w:pPr>
      <w:r w:rsidRPr="002E0601">
        <w:rPr>
          <w:b/>
        </w:rPr>
        <w:t xml:space="preserve">[Analysis:  </w:t>
      </w:r>
      <w:r w:rsidR="0099772F">
        <w:rPr>
          <w:b/>
        </w:rPr>
        <w:t xml:space="preserve">AFF will never know whether the reallocation of funds is being done correctly, if there is no way to accurately count the “migrant” population.  </w:t>
      </w:r>
      <w:r w:rsidRPr="002E0601">
        <w:rPr>
          <w:b/>
        </w:rPr>
        <w:t xml:space="preserve">To really solve, we need the EU to come up with standardized </w:t>
      </w:r>
      <w:r w:rsidR="0099772F">
        <w:rPr>
          <w:b/>
        </w:rPr>
        <w:t>definition of</w:t>
      </w:r>
      <w:r w:rsidRPr="002E0601">
        <w:rPr>
          <w:b/>
        </w:rPr>
        <w:t xml:space="preserve"> what a “migrant” is and </w:t>
      </w:r>
      <w:r w:rsidR="0099772F">
        <w:rPr>
          <w:b/>
        </w:rPr>
        <w:t>then do studies to find out those numbers</w:t>
      </w:r>
      <w:r w:rsidRPr="002E0601">
        <w:rPr>
          <w:b/>
        </w:rPr>
        <w:t>.]</w:t>
      </w:r>
    </w:p>
    <w:p w14:paraId="305ADF76" w14:textId="5EF09578" w:rsidR="0099772F" w:rsidRDefault="0099772F" w:rsidP="0099772F">
      <w:pPr>
        <w:pStyle w:val="Citation3"/>
      </w:pPr>
      <w:r w:rsidRPr="0099772F">
        <w:rPr>
          <w:u w:val="single"/>
        </w:rPr>
        <w:t xml:space="preserve">Dr. Hanne </w:t>
      </w:r>
      <w:proofErr w:type="spellStart"/>
      <w:r w:rsidRPr="0099772F">
        <w:rPr>
          <w:u w:val="single"/>
        </w:rPr>
        <w:t>Beirens</w:t>
      </w:r>
      <w:proofErr w:type="spellEnd"/>
      <w:r w:rsidRPr="0099772F">
        <w:rPr>
          <w:u w:val="single"/>
        </w:rPr>
        <w:t xml:space="preserve"> and </w:t>
      </w:r>
      <w:proofErr w:type="spellStart"/>
      <w:r w:rsidRPr="0099772F">
        <w:rPr>
          <w:u w:val="single"/>
        </w:rPr>
        <w:t>Aliyyah</w:t>
      </w:r>
      <w:proofErr w:type="spellEnd"/>
      <w:r w:rsidRPr="0099772F">
        <w:rPr>
          <w:u w:val="single"/>
        </w:rPr>
        <w:t xml:space="preserve"> </w:t>
      </w:r>
      <w:proofErr w:type="spellStart"/>
      <w:r w:rsidRPr="0099772F">
        <w:rPr>
          <w:u w:val="single"/>
        </w:rPr>
        <w:t>Ahad</w:t>
      </w:r>
      <w:proofErr w:type="spellEnd"/>
      <w:r w:rsidRPr="0099772F">
        <w:rPr>
          <w:u w:val="single"/>
        </w:rPr>
        <w:t xml:space="preserve"> 2019</w:t>
      </w:r>
      <w:r>
        <w:t xml:space="preserve"> (</w:t>
      </w:r>
      <w:proofErr w:type="spellStart"/>
      <w:r>
        <w:t>Beirens</w:t>
      </w:r>
      <w:proofErr w:type="spellEnd"/>
      <w:r>
        <w:t xml:space="preserve"> – Associate Director of the Migration Policy Institute, Europe. PhD in sociology.  </w:t>
      </w:r>
      <w:proofErr w:type="spellStart"/>
      <w:r>
        <w:t>Ahad</w:t>
      </w:r>
      <w:proofErr w:type="spellEnd"/>
      <w:r>
        <w:t xml:space="preserve"> – Associate Policy Analyst at Migration Policy Institute; Master’s degree in public policy from Oxford.) March 2019  MONEY WISE – Improving how EU funds support migration policy objectives </w:t>
      </w:r>
      <w:hyperlink r:id="rId15" w:history="1">
        <w:r w:rsidRPr="00873BAD">
          <w:rPr>
            <w:rStyle w:val="Hyperlink"/>
          </w:rPr>
          <w:t>https://www.migrationpolicy.org/sites/default/files/publications/MPIE-EUfunds-migrationpolicy-Final-WEB.pdf</w:t>
        </w:r>
      </w:hyperlink>
      <w:r>
        <w:t xml:space="preserve"> (brackets added) (accessed 9 Feb 2021)</w:t>
      </w:r>
    </w:p>
    <w:p w14:paraId="05C494D8" w14:textId="2F2C067E" w:rsidR="0099772F" w:rsidRPr="002E0601" w:rsidRDefault="0099772F" w:rsidP="0099772F">
      <w:pPr>
        <w:pStyle w:val="Evidence"/>
      </w:pPr>
      <w:r>
        <w:rPr>
          <w:noProof/>
        </w:rPr>
        <w:drawing>
          <wp:inline distT="0" distB="0" distL="0" distR="0" wp14:anchorId="2439255C" wp14:editId="50E63ABE">
            <wp:extent cx="3686069" cy="2732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395" cy="2746027"/>
                    </a:xfrm>
                    <a:prstGeom prst="rect">
                      <a:avLst/>
                    </a:prstGeom>
                    <a:noFill/>
                    <a:ln>
                      <a:noFill/>
                    </a:ln>
                  </pic:spPr>
                </pic:pic>
              </a:graphicData>
            </a:graphic>
          </wp:inline>
        </w:drawing>
      </w:r>
    </w:p>
    <w:p w14:paraId="3DBD9D34" w14:textId="60865DBF" w:rsidR="002E0601" w:rsidRDefault="0099772F" w:rsidP="009B64E0">
      <w:pPr>
        <w:pStyle w:val="Contention1"/>
      </w:pPr>
      <w:bookmarkStart w:id="21" w:name="_Toc63794635"/>
      <w:r>
        <w:lastRenderedPageBreak/>
        <w:t>5.  More Study Needed on Funding Effectiveness</w:t>
      </w:r>
      <w:r w:rsidR="003C38E9">
        <w:t xml:space="preserve"> before Funding Allocation Reform</w:t>
      </w:r>
      <w:bookmarkEnd w:id="21"/>
    </w:p>
    <w:p w14:paraId="7DB3E63F" w14:textId="5D620E85" w:rsidR="0099772F" w:rsidRDefault="0099772F" w:rsidP="009B64E0">
      <w:pPr>
        <w:pStyle w:val="Contention1"/>
      </w:pPr>
    </w:p>
    <w:p w14:paraId="15D3F516" w14:textId="1373363F" w:rsidR="0099772F" w:rsidRDefault="0099772F" w:rsidP="0099772F">
      <w:pPr>
        <w:pStyle w:val="Contention2"/>
      </w:pPr>
      <w:bookmarkStart w:id="22" w:name="_Toc63794636"/>
      <w:r>
        <w:t>Before we worry about reallocating funding, we first need to study what it’s being spent on and which programs work.   Otherwise, we’re simply reallocating funding among programs that don’t work</w:t>
      </w:r>
      <w:bookmarkEnd w:id="22"/>
    </w:p>
    <w:p w14:paraId="56521FBE" w14:textId="21F83573" w:rsidR="003C38E9" w:rsidRDefault="003C38E9" w:rsidP="003C38E9">
      <w:pPr>
        <w:pStyle w:val="Citation3"/>
      </w:pPr>
      <w:r w:rsidRPr="0099772F">
        <w:rPr>
          <w:u w:val="single"/>
        </w:rPr>
        <w:t xml:space="preserve">Dr. Hanne </w:t>
      </w:r>
      <w:proofErr w:type="spellStart"/>
      <w:r w:rsidRPr="0099772F">
        <w:rPr>
          <w:u w:val="single"/>
        </w:rPr>
        <w:t>Beirens</w:t>
      </w:r>
      <w:proofErr w:type="spellEnd"/>
      <w:r w:rsidRPr="0099772F">
        <w:rPr>
          <w:u w:val="single"/>
        </w:rPr>
        <w:t xml:space="preserve"> and </w:t>
      </w:r>
      <w:proofErr w:type="spellStart"/>
      <w:r w:rsidRPr="0099772F">
        <w:rPr>
          <w:u w:val="single"/>
        </w:rPr>
        <w:t>Aliyyah</w:t>
      </w:r>
      <w:proofErr w:type="spellEnd"/>
      <w:r w:rsidRPr="0099772F">
        <w:rPr>
          <w:u w:val="single"/>
        </w:rPr>
        <w:t xml:space="preserve"> </w:t>
      </w:r>
      <w:proofErr w:type="spellStart"/>
      <w:r w:rsidRPr="0099772F">
        <w:rPr>
          <w:u w:val="single"/>
        </w:rPr>
        <w:t>Ahad</w:t>
      </w:r>
      <w:proofErr w:type="spellEnd"/>
      <w:r w:rsidRPr="0099772F">
        <w:rPr>
          <w:u w:val="single"/>
        </w:rPr>
        <w:t xml:space="preserve"> 2019</w:t>
      </w:r>
      <w:r>
        <w:t xml:space="preserve"> (</w:t>
      </w:r>
      <w:proofErr w:type="spellStart"/>
      <w:r>
        <w:t>Beirens</w:t>
      </w:r>
      <w:proofErr w:type="spellEnd"/>
      <w:r>
        <w:t xml:space="preserve"> – Associate Director of the Migration Policy Institute, Europe. PhD in sociology.  </w:t>
      </w:r>
      <w:proofErr w:type="spellStart"/>
      <w:r>
        <w:t>Ahad</w:t>
      </w:r>
      <w:proofErr w:type="spellEnd"/>
      <w:r>
        <w:t xml:space="preserve"> – Associate Policy Analyst at Migration Policy Institute; Master’s degree in public policy from Oxford.) March 2019  MONEY WISE – Improving how EU funds support migration policy objectives </w:t>
      </w:r>
      <w:hyperlink r:id="rId17" w:history="1">
        <w:r w:rsidRPr="00873BAD">
          <w:rPr>
            <w:rStyle w:val="Hyperlink"/>
          </w:rPr>
          <w:t>https://www.migrationpolicy.org/sites/default/files/publications/MPIE-EUfunds-migrationpolicy-Final-WEB.pdf</w:t>
        </w:r>
      </w:hyperlink>
      <w:r>
        <w:t xml:space="preserve">  (accessed 9 Feb 2021)</w:t>
      </w:r>
    </w:p>
    <w:p w14:paraId="3BD3E865" w14:textId="05ACA547" w:rsidR="003C38E9" w:rsidRDefault="003C38E9" w:rsidP="003C38E9">
      <w:pPr>
        <w:pStyle w:val="Evidence"/>
      </w:pPr>
      <w:r>
        <w:rPr>
          <w:noProof/>
        </w:rPr>
        <w:drawing>
          <wp:inline distT="0" distB="0" distL="0" distR="0" wp14:anchorId="32E3C766" wp14:editId="0B9E1A17">
            <wp:extent cx="4964654" cy="183042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818" cy="1835646"/>
                    </a:xfrm>
                    <a:prstGeom prst="rect">
                      <a:avLst/>
                    </a:prstGeom>
                    <a:noFill/>
                    <a:ln>
                      <a:noFill/>
                    </a:ln>
                  </pic:spPr>
                </pic:pic>
              </a:graphicData>
            </a:graphic>
          </wp:inline>
        </w:drawing>
      </w:r>
    </w:p>
    <w:p w14:paraId="425DE878" w14:textId="77777777" w:rsidR="0099772F" w:rsidRDefault="0099772F" w:rsidP="009B64E0">
      <w:pPr>
        <w:pStyle w:val="Contention1"/>
      </w:pPr>
    </w:p>
    <w:p w14:paraId="3AC0E34C" w14:textId="73131CE0" w:rsidR="00A876A2" w:rsidRDefault="0099772F" w:rsidP="009B64E0">
      <w:pPr>
        <w:pStyle w:val="Contention1"/>
      </w:pPr>
      <w:bookmarkStart w:id="23" w:name="_Toc63794637"/>
      <w:r>
        <w:t>6</w:t>
      </w:r>
      <w:r w:rsidR="00A876A2">
        <w:t>.   Lack of funding</w:t>
      </w:r>
      <w:bookmarkEnd w:id="23"/>
    </w:p>
    <w:p w14:paraId="259446F7" w14:textId="47650831" w:rsidR="00A876A2" w:rsidRDefault="00A876A2" w:rsidP="009B64E0">
      <w:pPr>
        <w:pStyle w:val="Contention1"/>
      </w:pPr>
    </w:p>
    <w:p w14:paraId="09F81898" w14:textId="35F5D03C" w:rsidR="00A876A2" w:rsidRDefault="00A876A2" w:rsidP="00A876A2">
      <w:pPr>
        <w:pStyle w:val="Contention2"/>
      </w:pPr>
      <w:bookmarkStart w:id="24" w:name="_Toc63794638"/>
      <w:r>
        <w:t>Link:  AFF says they’re not increasing funding, just re-allocating it</w:t>
      </w:r>
      <w:bookmarkEnd w:id="24"/>
    </w:p>
    <w:p w14:paraId="32425953" w14:textId="0504EAD0" w:rsidR="00A876A2" w:rsidRDefault="00A876A2" w:rsidP="00A876A2">
      <w:pPr>
        <w:pStyle w:val="Evidence"/>
      </w:pPr>
      <w:r>
        <w:t>It’s in their mandates</w:t>
      </w:r>
    </w:p>
    <w:p w14:paraId="28B0DAF9" w14:textId="737F7140" w:rsidR="00A876A2" w:rsidRDefault="00A876A2" w:rsidP="00A876A2">
      <w:pPr>
        <w:pStyle w:val="Evidence"/>
      </w:pPr>
    </w:p>
    <w:p w14:paraId="7B28A2A7" w14:textId="50D300D4" w:rsidR="00A876A2" w:rsidRDefault="00A876A2" w:rsidP="00A876A2">
      <w:pPr>
        <w:pStyle w:val="Contention2"/>
      </w:pPr>
      <w:bookmarkStart w:id="25" w:name="_Toc63794639"/>
      <w:r>
        <w:t>Failure:   Can’t solve EU immigration problems without more funding</w:t>
      </w:r>
      <w:bookmarkEnd w:id="25"/>
    </w:p>
    <w:p w14:paraId="49D3A4B3" w14:textId="6042A090" w:rsidR="00A876A2" w:rsidRPr="00A876A2" w:rsidRDefault="00A876A2" w:rsidP="00A876A2">
      <w:pPr>
        <w:pStyle w:val="Citation3"/>
      </w:pPr>
      <w:r w:rsidRPr="00A876A2">
        <w:rPr>
          <w:u w:val="single"/>
        </w:rPr>
        <w:t>Prof. Iris G. Lang 2021</w:t>
      </w:r>
      <w:r w:rsidRPr="00A876A2">
        <w:t>. (</w:t>
      </w:r>
      <w:r w:rsidRPr="00A876A2">
        <w:rPr>
          <w:rStyle w:val="Emphasis"/>
          <w:i/>
          <w:iCs w:val="0"/>
        </w:rPr>
        <w:t>Professor of EU Law and Holder of the UNESCO Chair on Free Movement of People, Migration and Inter-Cultural Dialogue,</w:t>
      </w:r>
      <w:r w:rsidRPr="00A876A2">
        <w:t> </w:t>
      </w:r>
      <w:hyperlink r:id="rId19" w:history="1">
        <w:r w:rsidRPr="00A876A2">
          <w:rPr>
            <w:rStyle w:val="Emphasis"/>
            <w:i/>
            <w:iCs w:val="0"/>
          </w:rPr>
          <w:t>University of Zagreb</w:t>
        </w:r>
      </w:hyperlink>
      <w:r w:rsidRPr="00A876A2">
        <w:rPr>
          <w:rStyle w:val="Emphasis"/>
          <w:i/>
          <w:iCs w:val="0"/>
        </w:rPr>
        <w:t>.</w:t>
      </w:r>
      <w:r w:rsidRPr="00A876A2">
        <w:t xml:space="preserve"> ) 27 Jan 2021 “Financial Implications of the New Pact on Migration and Asylum: Will the Next MFF Cover the Costs?” </w:t>
      </w:r>
      <w:hyperlink r:id="rId20" w:anchor=":~:text=A%20more%20ambitious%20asylum%20and,with%20the%202021%2D2027%20MFF.&amp;text=Second%2C%20the%20amount%20of%20%E2%82%AC,spent%20on%20migration%20and%20asylum" w:history="1">
        <w:r w:rsidRPr="00873BAD">
          <w:rPr>
            <w:rStyle w:val="Hyperlink"/>
          </w:rPr>
          <w:t>http://eumigrationlawblog.eu/financial-implications-of-the-new-pact-on-migration-and-asylum-will-the-next-mff-cover-the-costs/#:~:text=A%20more%20ambitious%20asylum%20and,with%20the%202021%2D2027%20MFF.&amp;text=Second%2C%20the%20amount%20of%20%E2%82%AC,spent%20on%20migration%20and%20asylum</w:t>
        </w:r>
      </w:hyperlink>
      <w:r w:rsidRPr="00A876A2">
        <w:t>.</w:t>
      </w:r>
      <w:r>
        <w:t xml:space="preserve">  (accessed 9 Feb 2021)</w:t>
      </w:r>
    </w:p>
    <w:p w14:paraId="0FA56755" w14:textId="364D2E80" w:rsidR="00A876A2" w:rsidRDefault="00A876A2" w:rsidP="00A876A2">
      <w:pPr>
        <w:pStyle w:val="Evidence"/>
      </w:pPr>
      <w:r>
        <w:rPr>
          <w:shd w:val="clear" w:color="auto" w:fill="FFFFFF"/>
        </w:rPr>
        <w:t>Finally, whereas the EU budget plays only a complementary role and is not intended to replace national expenditures in the areas of migration and asylum, the fact remains that the general EU budget – including funds for migration and asylum – remains too modest to cover the actual needs. Only a more radical reshaping of EU resources would enable the EU budget to cover the costs more substantially than it does today.</w:t>
      </w:r>
    </w:p>
    <w:p w14:paraId="161F900D" w14:textId="77777777" w:rsidR="00A876A2" w:rsidRDefault="00A876A2" w:rsidP="009B64E0">
      <w:pPr>
        <w:pStyle w:val="Contention1"/>
      </w:pPr>
    </w:p>
    <w:p w14:paraId="4D1991F9" w14:textId="77777777" w:rsidR="00543B30" w:rsidRDefault="00543B30">
      <w:pPr>
        <w:rPr>
          <w:rFonts w:eastAsia="Times New Roman"/>
          <w:b/>
          <w:bCs/>
          <w:color w:val="000000"/>
          <w:sz w:val="20"/>
          <w:szCs w:val="20"/>
          <w:lang w:eastAsia="fr-FR"/>
        </w:rPr>
      </w:pPr>
      <w:r>
        <w:br w:type="page"/>
      </w:r>
    </w:p>
    <w:p w14:paraId="318CE079" w14:textId="7F17BF79" w:rsidR="001414AA" w:rsidRDefault="001414AA" w:rsidP="009B64E0">
      <w:pPr>
        <w:pStyle w:val="Contention1"/>
      </w:pPr>
      <w:bookmarkStart w:id="26" w:name="_Toc63794640"/>
      <w:r>
        <w:lastRenderedPageBreak/>
        <w:t>DISADVANTAGES</w:t>
      </w:r>
      <w:bookmarkEnd w:id="26"/>
    </w:p>
    <w:p w14:paraId="1618D990" w14:textId="7B2C49B7" w:rsidR="001414AA" w:rsidRDefault="001414AA" w:rsidP="009B64E0">
      <w:pPr>
        <w:pStyle w:val="Contention1"/>
      </w:pPr>
    </w:p>
    <w:p w14:paraId="0611FB5D" w14:textId="79D2CEE8" w:rsidR="00BA5223" w:rsidRDefault="00C06A63" w:rsidP="003A236F">
      <w:pPr>
        <w:pStyle w:val="Contention1"/>
      </w:pPr>
      <w:bookmarkStart w:id="27" w:name="_Toc63794641"/>
      <w:r>
        <w:t xml:space="preserve">1.  </w:t>
      </w:r>
      <w:r w:rsidR="007B7049">
        <w:t>Worse treatment of migrants</w:t>
      </w:r>
      <w:bookmarkEnd w:id="27"/>
    </w:p>
    <w:p w14:paraId="27588CA0" w14:textId="1851C6BF" w:rsidR="007B7049" w:rsidRDefault="007B7049" w:rsidP="003A236F">
      <w:pPr>
        <w:pStyle w:val="Contention1"/>
      </w:pPr>
    </w:p>
    <w:p w14:paraId="14423BEC" w14:textId="4D5C2014" w:rsidR="007B7049" w:rsidRDefault="007B7049" w:rsidP="007B7049">
      <w:pPr>
        <w:pStyle w:val="Contention2"/>
      </w:pPr>
      <w:bookmarkStart w:id="28" w:name="_Toc63794642"/>
      <w:r>
        <w:t>Link:  AFF tries to increase funding to countries that have more migrants (by decreasing from those that don’t)</w:t>
      </w:r>
      <w:bookmarkEnd w:id="28"/>
    </w:p>
    <w:p w14:paraId="62478DEF" w14:textId="44B879C2" w:rsidR="007B7049" w:rsidRDefault="007B7049" w:rsidP="007B7049">
      <w:pPr>
        <w:pStyle w:val="Evidence"/>
      </w:pPr>
      <w:r>
        <w:t>Reallocation of funding is supposed to achieve this objective, that countries with more migrants get more money to deal with them.</w:t>
      </w:r>
    </w:p>
    <w:p w14:paraId="7423DE64" w14:textId="1AC9B5A7" w:rsidR="007B7049" w:rsidRDefault="007B7049" w:rsidP="007B7049">
      <w:pPr>
        <w:pStyle w:val="Contention2"/>
      </w:pPr>
      <w:bookmarkStart w:id="29" w:name="_Toc63794643"/>
      <w:r>
        <w:t>Impact:  Worse treatment of migrants.  When EU countries get more funding for migrants, they spend it on policing and anti-immigrant policies</w:t>
      </w:r>
      <w:bookmarkEnd w:id="29"/>
    </w:p>
    <w:p w14:paraId="5D2FB119" w14:textId="17790679" w:rsidR="007B7049" w:rsidRDefault="007B7049" w:rsidP="007B7049">
      <w:pPr>
        <w:pStyle w:val="Citation3"/>
      </w:pPr>
      <w:r>
        <w:rPr>
          <w:u w:val="single"/>
        </w:rPr>
        <w:t xml:space="preserve">(AFFIRMATIVE SOURCE) </w:t>
      </w:r>
      <w:r w:rsidRPr="00EA063B">
        <w:rPr>
          <w:u w:val="single"/>
        </w:rPr>
        <w:t xml:space="preserve">Prof. </w:t>
      </w:r>
      <w:proofErr w:type="spellStart"/>
      <w:r w:rsidRPr="00EA063B">
        <w:rPr>
          <w:u w:val="single"/>
        </w:rPr>
        <w:t>Nicos</w:t>
      </w:r>
      <w:proofErr w:type="spellEnd"/>
      <w:r w:rsidRPr="00EA063B">
        <w:rPr>
          <w:u w:val="single"/>
        </w:rPr>
        <w:t xml:space="preserve"> </w:t>
      </w:r>
      <w:proofErr w:type="spellStart"/>
      <w:r w:rsidRPr="00EA063B">
        <w:rPr>
          <w:u w:val="single"/>
        </w:rPr>
        <w:t>Trimikliniotis</w:t>
      </w:r>
      <w:proofErr w:type="spellEnd"/>
      <w:r w:rsidRPr="00EA063B">
        <w:rPr>
          <w:u w:val="single"/>
        </w:rPr>
        <w:t xml:space="preserve"> 2020</w:t>
      </w:r>
      <w:r w:rsidRPr="00EA063B">
        <w:t xml:space="preserve">. (professor of sociology at the School of Humanities and Social Sciences, University of Nicosia, Cyprus) (no month given in publication date) Migration and the Refugee Dissensus in Europe: Borders, Security and Austerity </w:t>
      </w:r>
      <w:hyperlink r:id="rId21" w:anchor="v=onepage&amp;q=%22the%20EU%20parliament%20committee%20on%20budgets%20regarding%20funding%20notes%22&amp;f=false" w:history="1">
        <w:r w:rsidRPr="00A52955">
          <w:rPr>
            <w:rStyle w:val="Hyperlink"/>
          </w:rPr>
          <w:t>https://books.google.com/books?id=fsyxDwAAQBAJ&amp;pg=PT112&amp;lpg=PT112&amp;dq=%22the+EU+parliament+committee+on+budgets+regarding+funding+notes%22&amp;source=bl&amp;ots=GIKD235P0J&amp;sig=ACfU3U3FxzVcnGW8TH4qbnn-_xuTj8gCdA&amp;hl=en&amp;sa=X&amp;ved=2ahUKEwjJwdGH1NvuAhXDneAKHQOxBm8Q6AEwAHoECAIQAg#v=onepage&amp;q=%22the%20EU%20parliament%20committee%20on%20budgets%20regarding%20funding%20notes%22&amp;f=false</w:t>
        </w:r>
      </w:hyperlink>
      <w:r>
        <w:t xml:space="preserve">   (accessed 8 Feb 2021) (brackets added)</w:t>
      </w:r>
    </w:p>
    <w:p w14:paraId="670FCE92" w14:textId="01B55F63" w:rsidR="007B7049" w:rsidRDefault="007B7049" w:rsidP="007B7049">
      <w:pPr>
        <w:pStyle w:val="Evidence"/>
      </w:pPr>
      <w:r>
        <w:rPr>
          <w:noProof/>
        </w:rPr>
        <w:drawing>
          <wp:inline distT="0" distB="0" distL="0" distR="0" wp14:anchorId="221BCF03" wp14:editId="4665B48C">
            <wp:extent cx="4754880" cy="23642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132" cy="2371804"/>
                    </a:xfrm>
                    <a:prstGeom prst="rect">
                      <a:avLst/>
                    </a:prstGeom>
                    <a:noFill/>
                    <a:ln>
                      <a:noFill/>
                    </a:ln>
                  </pic:spPr>
                </pic:pic>
              </a:graphicData>
            </a:graphic>
          </wp:inline>
        </w:drawing>
      </w:r>
    </w:p>
    <w:p w14:paraId="3407D2F3" w14:textId="77777777" w:rsidR="003A236F" w:rsidRDefault="003A236F" w:rsidP="003A236F">
      <w:pPr>
        <w:pStyle w:val="Contention1"/>
      </w:pPr>
    </w:p>
    <w:p w14:paraId="3391D837" w14:textId="77777777" w:rsidR="00543B30" w:rsidRDefault="00543B30">
      <w:pPr>
        <w:rPr>
          <w:rFonts w:eastAsia="Times New Roman"/>
          <w:b/>
          <w:bCs/>
          <w:color w:val="000000"/>
          <w:sz w:val="20"/>
          <w:szCs w:val="20"/>
          <w:lang w:eastAsia="fr-FR"/>
        </w:rPr>
      </w:pPr>
      <w:r>
        <w:br w:type="page"/>
      </w:r>
    </w:p>
    <w:p w14:paraId="1A4129A5" w14:textId="24A39B84" w:rsidR="00BA5223" w:rsidRDefault="007B7049" w:rsidP="00BA5223">
      <w:pPr>
        <w:pStyle w:val="Contention1"/>
      </w:pPr>
      <w:bookmarkStart w:id="30" w:name="_Toc63794644"/>
      <w:r>
        <w:lastRenderedPageBreak/>
        <w:t>2</w:t>
      </w:r>
      <w:r w:rsidR="00BA5223">
        <w:t xml:space="preserve">.  </w:t>
      </w:r>
      <w:r>
        <w:t xml:space="preserve"> Worse treatment of taxpayers / Increased h</w:t>
      </w:r>
      <w:r w:rsidR="00BA5223">
        <w:t xml:space="preserve">uman rights violations.   </w:t>
      </w:r>
      <w:r>
        <w:t>[This happens everywhere DA 1 doesn’t happen]</w:t>
      </w:r>
      <w:bookmarkEnd w:id="30"/>
    </w:p>
    <w:p w14:paraId="532082B0" w14:textId="04248627" w:rsidR="00903FB7" w:rsidRDefault="00903FB7" w:rsidP="00C06A63">
      <w:pPr>
        <w:pStyle w:val="Contention1"/>
      </w:pPr>
    </w:p>
    <w:p w14:paraId="205F5433" w14:textId="77777777" w:rsidR="007B7049" w:rsidRDefault="00BA5223" w:rsidP="007B7049">
      <w:pPr>
        <w:pStyle w:val="Contention2"/>
      </w:pPr>
      <w:r w:rsidRPr="00BA5223">
        <w:t xml:space="preserve">  </w:t>
      </w:r>
      <w:bookmarkStart w:id="31" w:name="_Toc63794645"/>
      <w:bookmarkStart w:id="32" w:name="_Toc62632513"/>
      <w:r w:rsidR="007B7049">
        <w:t>Link:  AFF tries to increase funding to countries that have more migrants (by decreasing from those that don’t)</w:t>
      </w:r>
      <w:bookmarkEnd w:id="31"/>
    </w:p>
    <w:p w14:paraId="042DF508" w14:textId="0997BE27" w:rsidR="007B7049" w:rsidRDefault="007B7049" w:rsidP="007B7049">
      <w:pPr>
        <w:pStyle w:val="Evidence"/>
      </w:pPr>
      <w:r>
        <w:t>Reallocation of funding is supposed to achieve this objective, that countries with more migrants get more money to deal with them.  If they don’t spend it making immigrants lives worse as in DA 1, they’ll spend it on the next link, which is…</w:t>
      </w:r>
    </w:p>
    <w:p w14:paraId="5C8857D1" w14:textId="3A647A74" w:rsidR="007B7049" w:rsidRDefault="007B7049" w:rsidP="007B7049">
      <w:pPr>
        <w:pStyle w:val="Evidence"/>
      </w:pPr>
    </w:p>
    <w:p w14:paraId="3BBA933A" w14:textId="01E3DCB4" w:rsidR="007B7049" w:rsidRDefault="007B7049" w:rsidP="007B7049">
      <w:pPr>
        <w:pStyle w:val="Contention2"/>
      </w:pPr>
      <w:bookmarkStart w:id="33" w:name="_Toc63794646"/>
      <w:r>
        <w:t>Link:  EU believes immigrants have a “right” to other people’s money to guarantee them an ever increasing standard of living at government expense</w:t>
      </w:r>
      <w:bookmarkEnd w:id="33"/>
    </w:p>
    <w:p w14:paraId="1D969546" w14:textId="7D97940B" w:rsidR="00293F2F" w:rsidRDefault="00543B30" w:rsidP="00293F2F">
      <w:pPr>
        <w:pStyle w:val="Citation3"/>
      </w:pPr>
      <w:r w:rsidRPr="00543B30">
        <w:rPr>
          <w:u w:val="single"/>
        </w:rPr>
        <w:t>Caoimhe Sheridan 2015</w:t>
      </w:r>
      <w:r>
        <w:t xml:space="preserve"> (with the European Council on Refugees and Exiles) Reception and Detention Conditions of applicants for international protection in light of the Charter of Fundamental Rights of the EU, Jan 2015  </w:t>
      </w:r>
      <w:r w:rsidRPr="00543B30">
        <w:t xml:space="preserve">https://www.refworld.org/pdfid/5506a3d44.pdf </w:t>
      </w:r>
      <w:r>
        <w:t xml:space="preserve"> </w:t>
      </w:r>
      <w:r w:rsidR="00293F2F">
        <w:t>(accessed 9 Feb 2021) (brackets added)</w:t>
      </w:r>
    </w:p>
    <w:p w14:paraId="1C415169" w14:textId="77777777" w:rsidR="00543B30" w:rsidRDefault="00543B30" w:rsidP="00543B30">
      <w:pPr>
        <w:pStyle w:val="Evidence"/>
      </w:pPr>
      <w:r w:rsidRPr="00543B30">
        <w:rPr>
          <w:u w:val="single"/>
        </w:rPr>
        <w:t>The right to human dignity requires that the quality of life of an applicant for international protection must be one that is of a sufficient standard</w:t>
      </w:r>
      <w:r>
        <w:t xml:space="preserve">. Applicants must be placed in conditions that respect the personal sphere of an individual, which also links with the prohibition of over-crowding in terms of Article 3 ECHR. The essence of the right to human dignity is that you cannot treat a human as an object; you must respect their intrinsic worth. The ECtHR has also found that in certain instances (such as when a person is in state care) minimum materials need to be provided (food, access to adequate sanitary conditions, clothes and bedding) to meet the standard in Article 3.65 In addition, the onus cannot be placed on the applicant to ensure that their essential needs are met. In </w:t>
      </w:r>
      <w:proofErr w:type="spellStart"/>
      <w:r>
        <w:t>Saciri</w:t>
      </w:r>
      <w:proofErr w:type="spellEnd"/>
      <w:r>
        <w:t xml:space="preserve">, </w:t>
      </w:r>
      <w:r w:rsidRPr="00543B30">
        <w:rPr>
          <w:u w:val="single"/>
        </w:rPr>
        <w:t>the CJEU [Court of Justice of the European Union] looked at what level of support a Member State should provide when they opt to provide material support in the form of a financial allowance</w:t>
      </w:r>
      <w:r>
        <w:t xml:space="preserve"> as per Article 13 (5) of that Directive. </w:t>
      </w:r>
      <w:r w:rsidRPr="00543B30">
        <w:rPr>
          <w:u w:val="single"/>
        </w:rPr>
        <w:t>It found that the amount must be sufficient to ensure a dignified standard of living and adequate for the health of applicants and capable of ensuring their subsistence</w:t>
      </w:r>
      <w:r>
        <w:t xml:space="preserve">.  It also linked it to the specific needs of individuals, and accordingly, ‘the financial allowances must be sufficient to preserve family unity and the best interests of the child which, pursuant to Article 18(1), are to be a primary consideration’. In terms of what is specifically meant by ‘adequate standard of living’ is open to interpretation. Guidance can however be found in other instruments, such as the European Social Charter; Article 31 thereof provides the right to housing. </w:t>
      </w:r>
      <w:r w:rsidRPr="00543B30">
        <w:rPr>
          <w:u w:val="single"/>
        </w:rPr>
        <w:t>Article 11 of the International Covenant of Economic Social and Cultural Rights (ICESCR) provides that everyone has the right to ‘an adequate standard of living for himself and his family including adequate food, clothing and housing, and to the continuous improvement of living conditions</w:t>
      </w:r>
      <w:r>
        <w:t xml:space="preserve">’. According to the travaux </w:t>
      </w:r>
      <w:proofErr w:type="spellStart"/>
      <w:r>
        <w:t>preparatoires</w:t>
      </w:r>
      <w:proofErr w:type="spellEnd"/>
      <w:r>
        <w:t xml:space="preserve">, </w:t>
      </w:r>
      <w:r w:rsidRPr="00543B30">
        <w:rPr>
          <w:u w:val="single"/>
        </w:rPr>
        <w:t>the provision is of broad scope and not limited to food, shelter and clothing alone</w:t>
      </w:r>
      <w:r>
        <w:t xml:space="preserve"> and other factors should be taken into consideration</w:t>
      </w:r>
    </w:p>
    <w:p w14:paraId="3298EA76" w14:textId="4D965B81" w:rsidR="00BA5223" w:rsidRDefault="003F2062" w:rsidP="00543B30">
      <w:pPr>
        <w:pStyle w:val="Contention2"/>
      </w:pPr>
      <w:r>
        <w:br/>
      </w:r>
      <w:bookmarkStart w:id="34" w:name="_Toc63794647"/>
      <w:r w:rsidR="00BA5223">
        <w:t>Link:  Ever-expanding list of things the government has to give people (labeled as "rights") conflicts with individual liberty and freedom</w:t>
      </w:r>
      <w:bookmarkEnd w:id="32"/>
      <w:bookmarkEnd w:id="34"/>
    </w:p>
    <w:p w14:paraId="2F6773B4" w14:textId="400132E4" w:rsidR="00BA5223" w:rsidRPr="00563FA6" w:rsidRDefault="00BA5223" w:rsidP="00BA5223">
      <w:pPr>
        <w:pStyle w:val="Citation3"/>
      </w:pPr>
      <w:r w:rsidRPr="00563FA6">
        <w:rPr>
          <w:u w:val="single"/>
        </w:rPr>
        <w:t xml:space="preserve">Prof. Philipp </w:t>
      </w:r>
      <w:proofErr w:type="spellStart"/>
      <w:r w:rsidRPr="00563FA6">
        <w:rPr>
          <w:u w:val="single"/>
        </w:rPr>
        <w:t>Bagus</w:t>
      </w:r>
      <w:proofErr w:type="spellEnd"/>
      <w:r w:rsidRPr="00563FA6">
        <w:rPr>
          <w:u w:val="single"/>
        </w:rPr>
        <w:t> 2008</w:t>
      </w:r>
      <w:r w:rsidRPr="00563FA6">
        <w:t>. (professor at Rey Juan Carlos University)</w:t>
      </w:r>
      <w:r>
        <w:t xml:space="preserve"> 13 Oct 2008</w:t>
      </w:r>
      <w:r w:rsidRPr="00563FA6">
        <w:t xml:space="preserve"> Human Rights Inflation and Property Rights Devaluation </w:t>
      </w:r>
      <w:hyperlink r:id="rId23" w:history="1">
        <w:r w:rsidR="00543B30" w:rsidRPr="00873BAD">
          <w:rPr>
            <w:rStyle w:val="Hyperlink"/>
          </w:rPr>
          <w:t>https://www.independent.org/students/essay/essay.asp?id=2341</w:t>
        </w:r>
      </w:hyperlink>
      <w:r w:rsidR="00543B30">
        <w:t xml:space="preserve"> (accessed 9 Feb 2021)</w:t>
      </w:r>
    </w:p>
    <w:p w14:paraId="2ECE9B21" w14:textId="77777777" w:rsidR="00BA5223" w:rsidRPr="00237C9E" w:rsidRDefault="00BA5223" w:rsidP="00BA5223">
      <w:pPr>
        <w:pStyle w:val="Evidence"/>
      </w:pPr>
      <w:r w:rsidRPr="00563FA6">
        <w:rPr>
          <w:u w:val="single"/>
        </w:rPr>
        <w:t>The continuously expanding list of human rights is especially alarming</w:t>
      </w:r>
      <w:r w:rsidRPr="00237C9E">
        <w:t xml:space="preserve"> from a classical liberal perspective as represented by Smith (1776), </w:t>
      </w:r>
      <w:proofErr w:type="spellStart"/>
      <w:r w:rsidRPr="00237C9E">
        <w:t>Bastiat</w:t>
      </w:r>
      <w:proofErr w:type="spellEnd"/>
      <w:r w:rsidRPr="00237C9E">
        <w:t xml:space="preserve"> (1850), Mises (1927) and Hayek (1960</w:t>
      </w:r>
      <w:r w:rsidRPr="00563FA6">
        <w:rPr>
          <w:u w:val="single"/>
        </w:rPr>
        <w:t>), in that it causes a devaluing of important human rights. More precisely, these more recent human rights deal mainly with social welfare, entailing positive duties for the government, requiring its expansion. These more recent human rights stand in contrast to individual liberty and progressively undermine property rights and freedom</w:t>
      </w:r>
      <w:r w:rsidRPr="00237C9E">
        <w:t>.</w:t>
      </w:r>
    </w:p>
    <w:p w14:paraId="4722198E" w14:textId="77777777" w:rsidR="00BA5223" w:rsidRPr="008C6658" w:rsidRDefault="00BA5223" w:rsidP="00BA5223">
      <w:pPr>
        <w:pStyle w:val="Evidence"/>
      </w:pPr>
    </w:p>
    <w:p w14:paraId="023B2AE4" w14:textId="77777777" w:rsidR="00BA5223" w:rsidRDefault="00BA5223" w:rsidP="00BA5223">
      <w:pPr>
        <w:pStyle w:val="Contention2"/>
      </w:pPr>
      <w:bookmarkStart w:id="35" w:name="_Toc62632514"/>
      <w:bookmarkStart w:id="36" w:name="_Toc63794648"/>
      <w:r>
        <w:lastRenderedPageBreak/>
        <w:t>Link:  Taking property away from one to give to another to meet some "right" they claim but cannot afford, violates property rights and no offsetting worthy goal can justify it</w:t>
      </w:r>
      <w:bookmarkEnd w:id="35"/>
      <w:bookmarkEnd w:id="36"/>
    </w:p>
    <w:p w14:paraId="0A1714EC" w14:textId="77777777" w:rsidR="00543B30" w:rsidRPr="00563FA6" w:rsidRDefault="00543B30" w:rsidP="00543B30">
      <w:pPr>
        <w:pStyle w:val="Citation3"/>
      </w:pPr>
      <w:r w:rsidRPr="00563FA6">
        <w:rPr>
          <w:u w:val="single"/>
        </w:rPr>
        <w:t xml:space="preserve">Prof. Philipp </w:t>
      </w:r>
      <w:proofErr w:type="spellStart"/>
      <w:r w:rsidRPr="00563FA6">
        <w:rPr>
          <w:u w:val="single"/>
        </w:rPr>
        <w:t>Bagus</w:t>
      </w:r>
      <w:proofErr w:type="spellEnd"/>
      <w:r w:rsidRPr="00563FA6">
        <w:rPr>
          <w:u w:val="single"/>
        </w:rPr>
        <w:t> 2008</w:t>
      </w:r>
      <w:r w:rsidRPr="00563FA6">
        <w:t>. (professor at Rey Juan Carlos University)</w:t>
      </w:r>
      <w:r>
        <w:t xml:space="preserve"> 13 Oct 2008</w:t>
      </w:r>
      <w:r w:rsidRPr="00563FA6">
        <w:t xml:space="preserve"> Human Rights Inflation and Property Rights Devaluation </w:t>
      </w:r>
      <w:hyperlink r:id="rId24" w:history="1">
        <w:r w:rsidRPr="00873BAD">
          <w:rPr>
            <w:rStyle w:val="Hyperlink"/>
          </w:rPr>
          <w:t>https://www.independent.org/students/essay/essay.asp?id=2341</w:t>
        </w:r>
      </w:hyperlink>
      <w:r>
        <w:t xml:space="preserve"> (accessed 9 Feb 2021)</w:t>
      </w:r>
    </w:p>
    <w:p w14:paraId="33780E4C" w14:textId="77777777" w:rsidR="00BA5223" w:rsidRDefault="00BA5223" w:rsidP="00BA5223">
      <w:pPr>
        <w:pStyle w:val="Evidence"/>
      </w:pPr>
      <w:r w:rsidRPr="00563FA6">
        <w:rPr>
          <w:u w:val="single"/>
        </w:rPr>
        <w:t>Second-generation rights require providing a service to those who cannot afford that service. If no one is willing to voluntarily finance these services, second-generation rights imply the use of coercion in order to provide such services. In such cases, second-generation rights violate property rights, as it is impossible to honor both of them at the same time. It should be added, that property rights are not prima facie rights that can be restricted or balanced at discretion against some important goal, be it equality, “dignity,” or citizenship</w:t>
      </w:r>
      <w:r>
        <w:t xml:space="preserve">. Property rights are natural rights. They restrain the justifiable use of force in society. Their infringement would violate the self-ownership or the homesteading principle and as such stand against human nature. </w:t>
      </w:r>
      <w:r w:rsidRPr="00563FA6">
        <w:rPr>
          <w:u w:val="single"/>
        </w:rPr>
        <w:t>These violations are unjustifiable independent of any noble goals sought to be achieved by them</w:t>
      </w:r>
      <w:r>
        <w:t xml:space="preserve">. </w:t>
      </w:r>
    </w:p>
    <w:p w14:paraId="1FC94B82" w14:textId="77777777" w:rsidR="00BA5223" w:rsidRDefault="00BA5223" w:rsidP="00BA5223">
      <w:pPr>
        <w:pStyle w:val="Contention2"/>
      </w:pPr>
    </w:p>
    <w:p w14:paraId="08628229" w14:textId="77777777" w:rsidR="00BA5223" w:rsidRDefault="00BA5223" w:rsidP="00BA5223">
      <w:pPr>
        <w:pStyle w:val="Contention2"/>
      </w:pPr>
      <w:bookmarkStart w:id="37" w:name="_Toc62632515"/>
      <w:bookmarkStart w:id="38" w:name="_Toc63794649"/>
      <w:r>
        <w:t>Impact:  All other vital human rights disappear when property rights are lost</w:t>
      </w:r>
      <w:bookmarkEnd w:id="37"/>
      <w:bookmarkEnd w:id="38"/>
    </w:p>
    <w:p w14:paraId="6EC3AE71" w14:textId="77777777" w:rsidR="00543B30" w:rsidRPr="00563FA6" w:rsidRDefault="00543B30" w:rsidP="00543B30">
      <w:pPr>
        <w:pStyle w:val="Citation3"/>
      </w:pPr>
      <w:r w:rsidRPr="00563FA6">
        <w:rPr>
          <w:u w:val="single"/>
        </w:rPr>
        <w:t xml:space="preserve">Prof. Philipp </w:t>
      </w:r>
      <w:proofErr w:type="spellStart"/>
      <w:r w:rsidRPr="00563FA6">
        <w:rPr>
          <w:u w:val="single"/>
        </w:rPr>
        <w:t>Bagus</w:t>
      </w:r>
      <w:proofErr w:type="spellEnd"/>
      <w:r w:rsidRPr="00563FA6">
        <w:rPr>
          <w:u w:val="single"/>
        </w:rPr>
        <w:t> 2008</w:t>
      </w:r>
      <w:r w:rsidRPr="00563FA6">
        <w:t>. (professor at Rey Juan Carlos University)</w:t>
      </w:r>
      <w:r>
        <w:t xml:space="preserve"> 13 Oct 2008</w:t>
      </w:r>
      <w:r w:rsidRPr="00563FA6">
        <w:t xml:space="preserve"> Human Rights Inflation and Property Rights Devaluation </w:t>
      </w:r>
      <w:hyperlink r:id="rId25" w:history="1">
        <w:r w:rsidRPr="00873BAD">
          <w:rPr>
            <w:rStyle w:val="Hyperlink"/>
          </w:rPr>
          <w:t>https://www.independent.org/students/essay/essay.asp?id=2341</w:t>
        </w:r>
      </w:hyperlink>
      <w:r>
        <w:t xml:space="preserve"> (accessed 9 Feb 2021)</w:t>
      </w:r>
    </w:p>
    <w:p w14:paraId="0C7D7F5B" w14:textId="77777777" w:rsidR="00BA5223" w:rsidRDefault="00BA5223" w:rsidP="00BA5223">
      <w:pPr>
        <w:pStyle w:val="Evidence"/>
      </w:pPr>
      <w:r>
        <w:rPr>
          <w:shd w:val="clear" w:color="auto" w:fill="FFFFFF"/>
        </w:rPr>
        <w:t>Before turning to second-generation human rights, we can state that property rights do imply many of the first-generation human rights, like security of life, freedom of association, and freedom of speech. In fact, these rights are not separable from property rights. Furthermore, when property rights are infringed upon, these human rights disappear along with them.</w:t>
      </w:r>
    </w:p>
    <w:p w14:paraId="458B8779" w14:textId="77777777" w:rsidR="00BA5223" w:rsidRDefault="00BA5223" w:rsidP="00BA5223">
      <w:pPr>
        <w:pStyle w:val="Contention2"/>
      </w:pPr>
      <w:r>
        <w:br/>
      </w:r>
      <w:bookmarkStart w:id="39" w:name="_Toc62632516"/>
      <w:bookmarkStart w:id="40" w:name="_Toc63794650"/>
      <w:r>
        <w:t>Impact:  Human rights violation, corruption and injustice abound when we give people "rights" to someone else's money</w:t>
      </w:r>
      <w:bookmarkEnd w:id="39"/>
      <w:bookmarkEnd w:id="40"/>
    </w:p>
    <w:p w14:paraId="4E020BD9" w14:textId="77777777" w:rsidR="00543B30" w:rsidRPr="00563FA6" w:rsidRDefault="00543B30" w:rsidP="00543B30">
      <w:pPr>
        <w:pStyle w:val="Citation3"/>
      </w:pPr>
      <w:r w:rsidRPr="00563FA6">
        <w:rPr>
          <w:u w:val="single"/>
        </w:rPr>
        <w:t xml:space="preserve">Prof. Philipp </w:t>
      </w:r>
      <w:proofErr w:type="spellStart"/>
      <w:r w:rsidRPr="00563FA6">
        <w:rPr>
          <w:u w:val="single"/>
        </w:rPr>
        <w:t>Bagus</w:t>
      </w:r>
      <w:proofErr w:type="spellEnd"/>
      <w:r w:rsidRPr="00563FA6">
        <w:rPr>
          <w:u w:val="single"/>
        </w:rPr>
        <w:t> 2008</w:t>
      </w:r>
      <w:r w:rsidRPr="00563FA6">
        <w:t>. (professor at Rey Juan Carlos University)</w:t>
      </w:r>
      <w:r>
        <w:t xml:space="preserve"> 13 Oct 2008</w:t>
      </w:r>
      <w:r w:rsidRPr="00563FA6">
        <w:t xml:space="preserve"> Human Rights Inflation and Property Rights Devaluation </w:t>
      </w:r>
      <w:hyperlink r:id="rId26" w:history="1">
        <w:r w:rsidRPr="00873BAD">
          <w:rPr>
            <w:rStyle w:val="Hyperlink"/>
          </w:rPr>
          <w:t>https://www.independent.org/students/essay/essay.asp?id=2341</w:t>
        </w:r>
      </w:hyperlink>
      <w:r>
        <w:t xml:space="preserve"> (accessed 9 Feb 2021)</w:t>
      </w:r>
    </w:p>
    <w:p w14:paraId="5D8EFC23" w14:textId="458D5EA8" w:rsidR="008A6A9E" w:rsidRPr="00FF68C4" w:rsidRDefault="00BA5223" w:rsidP="00543B30">
      <w:pPr>
        <w:pStyle w:val="Evidence"/>
      </w:pPr>
      <w:r>
        <w:rPr>
          <w:shd w:val="clear" w:color="auto" w:fill="FFFFFF"/>
        </w:rPr>
        <w:t>Consequently, property rights imply equality before the law. In contrast, pseudo human rights imply certain redistribution from the rich to those who cannot afford the alleged rights. Someone has to provide a service to those who cannot afford the right. Therefore, pseudo human rights demand an unequal treatment before the law. Some are taxed in order to pay for the welfare of others. The interpretation of the particular situation and person gives the government discretion. The specific circumstances of a person call for a different treatment. Individuals make use of the coercive measures of the state to improve their welfare. The particular legislation and vague definitions give room for discretion by the government and violates, consequently, the rule of law. By violating the rule of law, the traditional sense of justice in the population is perverted. As a consequence, corruption flourishes and the population no longer follows universal rules but tries to gain advantages by demanding and interpreting pseudo human rights.</w:t>
      </w:r>
    </w:p>
    <w:sectPr w:rsidR="008A6A9E" w:rsidRPr="00FF68C4" w:rsidSect="00F04C2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BE11B" w14:textId="77777777" w:rsidR="009E1963" w:rsidRDefault="009E1963" w:rsidP="001D5FD6">
      <w:r>
        <w:separator/>
      </w:r>
    </w:p>
    <w:p w14:paraId="23179862" w14:textId="77777777" w:rsidR="009E1963" w:rsidRDefault="009E1963"/>
    <w:p w14:paraId="5B3DBDB1" w14:textId="77777777" w:rsidR="009E1963" w:rsidRDefault="009E1963"/>
  </w:endnote>
  <w:endnote w:type="continuationSeparator" w:id="0">
    <w:p w14:paraId="0FB02D11" w14:textId="77777777" w:rsidR="009E1963" w:rsidRDefault="009E1963" w:rsidP="001D5FD6">
      <w:r>
        <w:continuationSeparator/>
      </w:r>
    </w:p>
    <w:p w14:paraId="74BDA0AA" w14:textId="77777777" w:rsidR="009E1963" w:rsidRDefault="009E1963"/>
    <w:p w14:paraId="29C9A281" w14:textId="77777777" w:rsidR="009E1963" w:rsidRDefault="009E1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Myriad Pro"/>
    <w:panose1 w:val="020B0604020202020204"/>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DaxlinePro-Bold">
    <w:altName w:val="DaxlinePro-Bold"/>
    <w:panose1 w:val="020B0604020202020204"/>
    <w:charset w:val="00"/>
    <w:family w:val="swiss"/>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1E0FC" w14:textId="77777777" w:rsidR="00663ECF" w:rsidRDefault="00663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82047" w14:textId="108BA453" w:rsidR="003C38E9" w:rsidRDefault="003C38E9"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2021</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392B65">
      <w:rPr>
        <w:noProof/>
      </w:rPr>
      <w:t>1</w:t>
    </w:r>
    <w:r w:rsidRPr="0018486A">
      <w:rPr>
        <w:b w:val="0"/>
      </w:rPr>
      <w:fldChar w:fldCharType="end"/>
    </w:r>
    <w:r w:rsidRPr="0018486A">
      <w:t xml:space="preserve"> of </w:t>
    </w:r>
    <w:r>
      <w:rPr>
        <w:noProof/>
      </w:rPr>
      <w:fldChar w:fldCharType="begin"/>
    </w:r>
    <w:r>
      <w:rPr>
        <w:noProof/>
      </w:rPr>
      <w:instrText xml:space="preserve"> NUMPAGES </w:instrText>
    </w:r>
    <w:r>
      <w:rPr>
        <w:noProof/>
      </w:rPr>
      <w:fldChar w:fldCharType="separate"/>
    </w:r>
    <w:r w:rsidR="00392B65">
      <w:rPr>
        <w:noProof/>
      </w:rPr>
      <w:t>11</w:t>
    </w:r>
    <w:r>
      <w:rPr>
        <w:noProof/>
      </w:rPr>
      <w:fldChar w:fldCharType="end"/>
    </w:r>
    <w:r>
      <w:tab/>
    </w:r>
    <w:r w:rsidRPr="0018486A">
      <w:rPr>
        <w:sz w:val="18"/>
        <w:szCs w:val="18"/>
      </w:rPr>
      <w:t xml:space="preserve"> </w:t>
    </w:r>
    <w:r>
      <w:rPr>
        <w:sz w:val="18"/>
        <w:szCs w:val="18"/>
      </w:rPr>
      <w:t>MonumentMembers.com</w:t>
    </w:r>
  </w:p>
  <w:p w14:paraId="030B3577" w14:textId="77777777" w:rsidR="003C38E9" w:rsidRDefault="003C38E9"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2A219789" w:rsidR="003C38E9" w:rsidRPr="00303BC4" w:rsidRDefault="003C38E9" w:rsidP="00303BC4">
    <w:pPr>
      <w:pStyle w:val="Footer"/>
      <w:tabs>
        <w:tab w:val="clear" w:pos="4320"/>
        <w:tab w:val="center" w:pos="4230"/>
      </w:tabs>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F2827" w14:textId="77777777" w:rsidR="00663ECF" w:rsidRDefault="00663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42C61" w14:textId="77777777" w:rsidR="009E1963" w:rsidRDefault="009E1963" w:rsidP="001D5FD6">
      <w:r>
        <w:separator/>
      </w:r>
    </w:p>
    <w:p w14:paraId="399755A3" w14:textId="77777777" w:rsidR="009E1963" w:rsidRDefault="009E1963"/>
    <w:p w14:paraId="7DBD243B" w14:textId="77777777" w:rsidR="009E1963" w:rsidRDefault="009E1963"/>
  </w:footnote>
  <w:footnote w:type="continuationSeparator" w:id="0">
    <w:p w14:paraId="66563D84" w14:textId="77777777" w:rsidR="009E1963" w:rsidRDefault="009E1963" w:rsidP="001D5FD6">
      <w:r>
        <w:continuationSeparator/>
      </w:r>
    </w:p>
    <w:p w14:paraId="1582D968" w14:textId="77777777" w:rsidR="009E1963" w:rsidRDefault="009E1963"/>
    <w:p w14:paraId="57DB2633" w14:textId="77777777" w:rsidR="009E1963" w:rsidRDefault="009E19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E37ED" w14:textId="77777777" w:rsidR="00663ECF" w:rsidRDefault="00663E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1E2D2221" w:rsidR="003C38E9" w:rsidRDefault="003C38E9" w:rsidP="00934A35">
    <w:pPr>
      <w:pStyle w:val="Footer"/>
    </w:pPr>
    <w:r>
      <w:t>Negative:  MFF Funding Reallocation</w:t>
    </w:r>
  </w:p>
  <w:p w14:paraId="3D7AE9DD" w14:textId="77777777" w:rsidR="003C38E9" w:rsidRDefault="003C38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22816" w14:textId="77777777" w:rsidR="00663ECF" w:rsidRDefault="00663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6"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97358D"/>
    <w:multiLevelType w:val="hybridMultilevel"/>
    <w:tmpl w:val="A18E5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A0116B"/>
    <w:multiLevelType w:val="multilevel"/>
    <w:tmpl w:val="F75A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2BB33AE1"/>
    <w:multiLevelType w:val="hybridMultilevel"/>
    <w:tmpl w:val="8BC2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5"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214D9B"/>
    <w:multiLevelType w:val="multilevel"/>
    <w:tmpl w:val="14EC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9"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CE14AA"/>
    <w:multiLevelType w:val="multilevel"/>
    <w:tmpl w:val="F816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C50E54"/>
    <w:multiLevelType w:val="hybridMultilevel"/>
    <w:tmpl w:val="3C1C6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5"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8C285D"/>
    <w:multiLevelType w:val="hybridMultilevel"/>
    <w:tmpl w:val="E4AC3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C3EBB"/>
    <w:multiLevelType w:val="multilevel"/>
    <w:tmpl w:val="96B2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2"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16"/>
  </w:num>
  <w:num w:numId="4">
    <w:abstractNumId w:val="22"/>
  </w:num>
  <w:num w:numId="5">
    <w:abstractNumId w:val="42"/>
  </w:num>
  <w:num w:numId="6">
    <w:abstractNumId w:val="18"/>
  </w:num>
  <w:num w:numId="7">
    <w:abstractNumId w:val="43"/>
  </w:num>
  <w:num w:numId="8">
    <w:abstractNumId w:val="39"/>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41"/>
  </w:num>
  <w:num w:numId="20">
    <w:abstractNumId w:val="34"/>
  </w:num>
  <w:num w:numId="21">
    <w:abstractNumId w:val="20"/>
  </w:num>
  <w:num w:numId="22">
    <w:abstractNumId w:val="13"/>
  </w:num>
  <w:num w:numId="23">
    <w:abstractNumId w:val="17"/>
  </w:num>
  <w:num w:numId="24">
    <w:abstractNumId w:val="14"/>
  </w:num>
  <w:num w:numId="25">
    <w:abstractNumId w:val="0"/>
  </w:num>
  <w:num w:numId="26">
    <w:abstractNumId w:val="29"/>
  </w:num>
  <w:num w:numId="27">
    <w:abstractNumId w:val="26"/>
  </w:num>
  <w:num w:numId="28">
    <w:abstractNumId w:val="40"/>
  </w:num>
  <w:num w:numId="29">
    <w:abstractNumId w:val="24"/>
  </w:num>
  <w:num w:numId="30">
    <w:abstractNumId w:val="28"/>
  </w:num>
  <w:num w:numId="31">
    <w:abstractNumId w:val="15"/>
  </w:num>
  <w:num w:numId="32">
    <w:abstractNumId w:val="35"/>
  </w:num>
  <w:num w:numId="33">
    <w:abstractNumId w:val="44"/>
  </w:num>
  <w:num w:numId="34">
    <w:abstractNumId w:val="33"/>
  </w:num>
  <w:num w:numId="35">
    <w:abstractNumId w:val="25"/>
  </w:num>
  <w:num w:numId="36">
    <w:abstractNumId w:val="11"/>
  </w:num>
  <w:num w:numId="37">
    <w:abstractNumId w:val="12"/>
  </w:num>
  <w:num w:numId="38">
    <w:abstractNumId w:val="38"/>
  </w:num>
  <w:num w:numId="39">
    <w:abstractNumId w:val="31"/>
  </w:num>
  <w:num w:numId="40">
    <w:abstractNumId w:val="27"/>
  </w:num>
  <w:num w:numId="41">
    <w:abstractNumId w:val="21"/>
  </w:num>
  <w:num w:numId="42">
    <w:abstractNumId w:val="19"/>
  </w:num>
  <w:num w:numId="43">
    <w:abstractNumId w:val="36"/>
  </w:num>
  <w:num w:numId="44">
    <w:abstractNumId w:val="3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82"/>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4B"/>
    <w:rsid w:val="00005181"/>
    <w:rsid w:val="00012937"/>
    <w:rsid w:val="00023573"/>
    <w:rsid w:val="00025B9D"/>
    <w:rsid w:val="00035885"/>
    <w:rsid w:val="00037C74"/>
    <w:rsid w:val="000429BB"/>
    <w:rsid w:val="00044C9B"/>
    <w:rsid w:val="000519FE"/>
    <w:rsid w:val="000530E5"/>
    <w:rsid w:val="00054376"/>
    <w:rsid w:val="000602F5"/>
    <w:rsid w:val="00065C69"/>
    <w:rsid w:val="000661C5"/>
    <w:rsid w:val="00067D55"/>
    <w:rsid w:val="0007056F"/>
    <w:rsid w:val="00071EB8"/>
    <w:rsid w:val="0007300E"/>
    <w:rsid w:val="00073EFF"/>
    <w:rsid w:val="0008580D"/>
    <w:rsid w:val="000863B9"/>
    <w:rsid w:val="0008674B"/>
    <w:rsid w:val="00090620"/>
    <w:rsid w:val="0009425D"/>
    <w:rsid w:val="0009668E"/>
    <w:rsid w:val="0009716A"/>
    <w:rsid w:val="000A1662"/>
    <w:rsid w:val="000A6B42"/>
    <w:rsid w:val="000B0848"/>
    <w:rsid w:val="000B1B20"/>
    <w:rsid w:val="000B3CC7"/>
    <w:rsid w:val="000B504C"/>
    <w:rsid w:val="000C0767"/>
    <w:rsid w:val="000C3B37"/>
    <w:rsid w:val="000C3D27"/>
    <w:rsid w:val="000C54F8"/>
    <w:rsid w:val="000D225F"/>
    <w:rsid w:val="000D3779"/>
    <w:rsid w:val="000D5C9A"/>
    <w:rsid w:val="000D7913"/>
    <w:rsid w:val="000E070F"/>
    <w:rsid w:val="000E546F"/>
    <w:rsid w:val="000F189A"/>
    <w:rsid w:val="000F24E5"/>
    <w:rsid w:val="000F546C"/>
    <w:rsid w:val="000F5B0E"/>
    <w:rsid w:val="000F5F5A"/>
    <w:rsid w:val="00103A62"/>
    <w:rsid w:val="001128C2"/>
    <w:rsid w:val="00115D0B"/>
    <w:rsid w:val="0012472B"/>
    <w:rsid w:val="00125C7C"/>
    <w:rsid w:val="00127CD7"/>
    <w:rsid w:val="001315CF"/>
    <w:rsid w:val="00133745"/>
    <w:rsid w:val="0013546D"/>
    <w:rsid w:val="001361FB"/>
    <w:rsid w:val="001414AA"/>
    <w:rsid w:val="00142834"/>
    <w:rsid w:val="0015488C"/>
    <w:rsid w:val="00166748"/>
    <w:rsid w:val="00166B69"/>
    <w:rsid w:val="0017181C"/>
    <w:rsid w:val="0017253D"/>
    <w:rsid w:val="00177091"/>
    <w:rsid w:val="00177BD0"/>
    <w:rsid w:val="00186739"/>
    <w:rsid w:val="001901E5"/>
    <w:rsid w:val="00190F49"/>
    <w:rsid w:val="00196952"/>
    <w:rsid w:val="001A1CE2"/>
    <w:rsid w:val="001A29BE"/>
    <w:rsid w:val="001A5F1A"/>
    <w:rsid w:val="001A73EC"/>
    <w:rsid w:val="001C036D"/>
    <w:rsid w:val="001C2D98"/>
    <w:rsid w:val="001C5EC3"/>
    <w:rsid w:val="001C66C5"/>
    <w:rsid w:val="001D0A7E"/>
    <w:rsid w:val="001D5FD6"/>
    <w:rsid w:val="001E0A50"/>
    <w:rsid w:val="001E14BC"/>
    <w:rsid w:val="001E2617"/>
    <w:rsid w:val="001E5BD2"/>
    <w:rsid w:val="001F0ADE"/>
    <w:rsid w:val="001F0F10"/>
    <w:rsid w:val="001F16F1"/>
    <w:rsid w:val="001F1F2B"/>
    <w:rsid w:val="00202254"/>
    <w:rsid w:val="00202605"/>
    <w:rsid w:val="002050A1"/>
    <w:rsid w:val="00213EE2"/>
    <w:rsid w:val="00213FEC"/>
    <w:rsid w:val="002171A0"/>
    <w:rsid w:val="00217C98"/>
    <w:rsid w:val="00217D96"/>
    <w:rsid w:val="00224252"/>
    <w:rsid w:val="00236F83"/>
    <w:rsid w:val="00237C9E"/>
    <w:rsid w:val="002477FA"/>
    <w:rsid w:val="00247AB6"/>
    <w:rsid w:val="00247EDD"/>
    <w:rsid w:val="00253B87"/>
    <w:rsid w:val="002544B3"/>
    <w:rsid w:val="00254514"/>
    <w:rsid w:val="002558C7"/>
    <w:rsid w:val="00261955"/>
    <w:rsid w:val="00265032"/>
    <w:rsid w:val="002666C7"/>
    <w:rsid w:val="00272807"/>
    <w:rsid w:val="002732DD"/>
    <w:rsid w:val="00273692"/>
    <w:rsid w:val="0027474B"/>
    <w:rsid w:val="00282693"/>
    <w:rsid w:val="00284528"/>
    <w:rsid w:val="0028462E"/>
    <w:rsid w:val="002847EA"/>
    <w:rsid w:val="00285587"/>
    <w:rsid w:val="00290BD7"/>
    <w:rsid w:val="002914FF"/>
    <w:rsid w:val="00293B92"/>
    <w:rsid w:val="00293F2F"/>
    <w:rsid w:val="00294743"/>
    <w:rsid w:val="00296E34"/>
    <w:rsid w:val="002A018C"/>
    <w:rsid w:val="002A286B"/>
    <w:rsid w:val="002A3B59"/>
    <w:rsid w:val="002A46C2"/>
    <w:rsid w:val="002A6F56"/>
    <w:rsid w:val="002A72DE"/>
    <w:rsid w:val="002B28B5"/>
    <w:rsid w:val="002B2A5D"/>
    <w:rsid w:val="002B6665"/>
    <w:rsid w:val="002B7A50"/>
    <w:rsid w:val="002C1829"/>
    <w:rsid w:val="002C20CF"/>
    <w:rsid w:val="002C2694"/>
    <w:rsid w:val="002C4542"/>
    <w:rsid w:val="002C5F5A"/>
    <w:rsid w:val="002D1F9C"/>
    <w:rsid w:val="002D2C8E"/>
    <w:rsid w:val="002D6A50"/>
    <w:rsid w:val="002D6D50"/>
    <w:rsid w:val="002D74DE"/>
    <w:rsid w:val="002D787D"/>
    <w:rsid w:val="002E0230"/>
    <w:rsid w:val="002E0601"/>
    <w:rsid w:val="002E4B78"/>
    <w:rsid w:val="002E7D31"/>
    <w:rsid w:val="002F5366"/>
    <w:rsid w:val="00301DF5"/>
    <w:rsid w:val="00303793"/>
    <w:rsid w:val="00303BC4"/>
    <w:rsid w:val="00305472"/>
    <w:rsid w:val="00313DAC"/>
    <w:rsid w:val="00314534"/>
    <w:rsid w:val="003153FF"/>
    <w:rsid w:val="003252AF"/>
    <w:rsid w:val="00326FFF"/>
    <w:rsid w:val="00330972"/>
    <w:rsid w:val="00333184"/>
    <w:rsid w:val="00337FED"/>
    <w:rsid w:val="00341B66"/>
    <w:rsid w:val="00343D19"/>
    <w:rsid w:val="00351FCE"/>
    <w:rsid w:val="00355235"/>
    <w:rsid w:val="00361A88"/>
    <w:rsid w:val="00366F70"/>
    <w:rsid w:val="00367411"/>
    <w:rsid w:val="0037278C"/>
    <w:rsid w:val="00373DA9"/>
    <w:rsid w:val="00374390"/>
    <w:rsid w:val="00380948"/>
    <w:rsid w:val="00382793"/>
    <w:rsid w:val="00383F4A"/>
    <w:rsid w:val="00387B4D"/>
    <w:rsid w:val="00391D35"/>
    <w:rsid w:val="003920E8"/>
    <w:rsid w:val="00392B65"/>
    <w:rsid w:val="003948E2"/>
    <w:rsid w:val="00394FA5"/>
    <w:rsid w:val="003965EC"/>
    <w:rsid w:val="00396B4A"/>
    <w:rsid w:val="00397292"/>
    <w:rsid w:val="003A236F"/>
    <w:rsid w:val="003A536B"/>
    <w:rsid w:val="003B0AF2"/>
    <w:rsid w:val="003B219C"/>
    <w:rsid w:val="003B252C"/>
    <w:rsid w:val="003B6AFD"/>
    <w:rsid w:val="003B750B"/>
    <w:rsid w:val="003B7A33"/>
    <w:rsid w:val="003C1F6A"/>
    <w:rsid w:val="003C2572"/>
    <w:rsid w:val="003C38E9"/>
    <w:rsid w:val="003C5AC0"/>
    <w:rsid w:val="003D27DB"/>
    <w:rsid w:val="003D3714"/>
    <w:rsid w:val="003D4F66"/>
    <w:rsid w:val="003E359D"/>
    <w:rsid w:val="003E478B"/>
    <w:rsid w:val="003E4ED3"/>
    <w:rsid w:val="003E51E8"/>
    <w:rsid w:val="003E6942"/>
    <w:rsid w:val="003F0388"/>
    <w:rsid w:val="003F2062"/>
    <w:rsid w:val="003F4253"/>
    <w:rsid w:val="003F4F72"/>
    <w:rsid w:val="003F7D2A"/>
    <w:rsid w:val="00402643"/>
    <w:rsid w:val="004051DC"/>
    <w:rsid w:val="004136A1"/>
    <w:rsid w:val="00415673"/>
    <w:rsid w:val="0041744C"/>
    <w:rsid w:val="0041797B"/>
    <w:rsid w:val="0042262F"/>
    <w:rsid w:val="004228C0"/>
    <w:rsid w:val="00454B16"/>
    <w:rsid w:val="00454D85"/>
    <w:rsid w:val="004555FD"/>
    <w:rsid w:val="0045767E"/>
    <w:rsid w:val="00457835"/>
    <w:rsid w:val="00461E5E"/>
    <w:rsid w:val="004639D6"/>
    <w:rsid w:val="004724B8"/>
    <w:rsid w:val="00472EA9"/>
    <w:rsid w:val="004731D9"/>
    <w:rsid w:val="004745B1"/>
    <w:rsid w:val="00475CE9"/>
    <w:rsid w:val="00481C4B"/>
    <w:rsid w:val="0048283B"/>
    <w:rsid w:val="00484324"/>
    <w:rsid w:val="00485D78"/>
    <w:rsid w:val="004908AC"/>
    <w:rsid w:val="0049656E"/>
    <w:rsid w:val="004969CB"/>
    <w:rsid w:val="004969CF"/>
    <w:rsid w:val="004A1F58"/>
    <w:rsid w:val="004A250C"/>
    <w:rsid w:val="004A276D"/>
    <w:rsid w:val="004A38B2"/>
    <w:rsid w:val="004A3C63"/>
    <w:rsid w:val="004A570A"/>
    <w:rsid w:val="004A674E"/>
    <w:rsid w:val="004B09ED"/>
    <w:rsid w:val="004B1DF4"/>
    <w:rsid w:val="004B2F73"/>
    <w:rsid w:val="004C28DF"/>
    <w:rsid w:val="004C6863"/>
    <w:rsid w:val="004D148E"/>
    <w:rsid w:val="004D2CF7"/>
    <w:rsid w:val="004D4C54"/>
    <w:rsid w:val="004F011F"/>
    <w:rsid w:val="004F0BD2"/>
    <w:rsid w:val="004F139E"/>
    <w:rsid w:val="004F322C"/>
    <w:rsid w:val="004F3665"/>
    <w:rsid w:val="004F3F5A"/>
    <w:rsid w:val="00501F49"/>
    <w:rsid w:val="00502AA2"/>
    <w:rsid w:val="005111F7"/>
    <w:rsid w:val="0051402D"/>
    <w:rsid w:val="00520F71"/>
    <w:rsid w:val="00521E90"/>
    <w:rsid w:val="005310D7"/>
    <w:rsid w:val="00531676"/>
    <w:rsid w:val="0054366B"/>
    <w:rsid w:val="00543B30"/>
    <w:rsid w:val="005454FD"/>
    <w:rsid w:val="005476B4"/>
    <w:rsid w:val="00550582"/>
    <w:rsid w:val="00553F1B"/>
    <w:rsid w:val="005579E9"/>
    <w:rsid w:val="00563FA6"/>
    <w:rsid w:val="00565C56"/>
    <w:rsid w:val="00576140"/>
    <w:rsid w:val="005765D1"/>
    <w:rsid w:val="005772B6"/>
    <w:rsid w:val="005810A6"/>
    <w:rsid w:val="0058673E"/>
    <w:rsid w:val="00593922"/>
    <w:rsid w:val="005950CF"/>
    <w:rsid w:val="005A01B9"/>
    <w:rsid w:val="005A0856"/>
    <w:rsid w:val="005B1129"/>
    <w:rsid w:val="005B29AC"/>
    <w:rsid w:val="005B2D67"/>
    <w:rsid w:val="005B6DC5"/>
    <w:rsid w:val="005C03C7"/>
    <w:rsid w:val="005D1532"/>
    <w:rsid w:val="005D578F"/>
    <w:rsid w:val="005E1B5E"/>
    <w:rsid w:val="005E2D97"/>
    <w:rsid w:val="005F3E72"/>
    <w:rsid w:val="005F40EB"/>
    <w:rsid w:val="005F65A4"/>
    <w:rsid w:val="00613290"/>
    <w:rsid w:val="00613861"/>
    <w:rsid w:val="0061483A"/>
    <w:rsid w:val="00616E3B"/>
    <w:rsid w:val="00620AEC"/>
    <w:rsid w:val="00621099"/>
    <w:rsid w:val="00622402"/>
    <w:rsid w:val="00622E81"/>
    <w:rsid w:val="006237D8"/>
    <w:rsid w:val="006308D2"/>
    <w:rsid w:val="0063440B"/>
    <w:rsid w:val="00635786"/>
    <w:rsid w:val="006359AF"/>
    <w:rsid w:val="006438E3"/>
    <w:rsid w:val="006454BC"/>
    <w:rsid w:val="00646DED"/>
    <w:rsid w:val="00647B08"/>
    <w:rsid w:val="00650811"/>
    <w:rsid w:val="006540DC"/>
    <w:rsid w:val="00660055"/>
    <w:rsid w:val="00661995"/>
    <w:rsid w:val="006629BD"/>
    <w:rsid w:val="00663ECF"/>
    <w:rsid w:val="00670B7E"/>
    <w:rsid w:val="00670FA8"/>
    <w:rsid w:val="00674E61"/>
    <w:rsid w:val="00674F77"/>
    <w:rsid w:val="00680A38"/>
    <w:rsid w:val="00683A88"/>
    <w:rsid w:val="00685030"/>
    <w:rsid w:val="00695CB8"/>
    <w:rsid w:val="00696C92"/>
    <w:rsid w:val="006A02CE"/>
    <w:rsid w:val="006A18D4"/>
    <w:rsid w:val="006A2CBF"/>
    <w:rsid w:val="006A5945"/>
    <w:rsid w:val="006A5C68"/>
    <w:rsid w:val="006A70E6"/>
    <w:rsid w:val="006B5C75"/>
    <w:rsid w:val="006B691C"/>
    <w:rsid w:val="006B7054"/>
    <w:rsid w:val="006C0092"/>
    <w:rsid w:val="006C187C"/>
    <w:rsid w:val="006C2E90"/>
    <w:rsid w:val="006C34A4"/>
    <w:rsid w:val="006C4265"/>
    <w:rsid w:val="006C457B"/>
    <w:rsid w:val="006C45CA"/>
    <w:rsid w:val="006C5307"/>
    <w:rsid w:val="006C6302"/>
    <w:rsid w:val="006D0228"/>
    <w:rsid w:val="006D07E8"/>
    <w:rsid w:val="006D157A"/>
    <w:rsid w:val="006D3F93"/>
    <w:rsid w:val="006D46F2"/>
    <w:rsid w:val="006E03C9"/>
    <w:rsid w:val="006E0FAB"/>
    <w:rsid w:val="006E588A"/>
    <w:rsid w:val="006F2E57"/>
    <w:rsid w:val="006F3765"/>
    <w:rsid w:val="006F48B2"/>
    <w:rsid w:val="006F5487"/>
    <w:rsid w:val="006F5E15"/>
    <w:rsid w:val="00700114"/>
    <w:rsid w:val="007006E3"/>
    <w:rsid w:val="00700C0A"/>
    <w:rsid w:val="0070221F"/>
    <w:rsid w:val="007022A7"/>
    <w:rsid w:val="0070559B"/>
    <w:rsid w:val="00720189"/>
    <w:rsid w:val="007240CB"/>
    <w:rsid w:val="0072413B"/>
    <w:rsid w:val="007254F4"/>
    <w:rsid w:val="0072778E"/>
    <w:rsid w:val="00732633"/>
    <w:rsid w:val="00732989"/>
    <w:rsid w:val="00733B3D"/>
    <w:rsid w:val="00734298"/>
    <w:rsid w:val="007345F9"/>
    <w:rsid w:val="0073488F"/>
    <w:rsid w:val="00736C36"/>
    <w:rsid w:val="00742DD8"/>
    <w:rsid w:val="00744B8F"/>
    <w:rsid w:val="00746139"/>
    <w:rsid w:val="0075366A"/>
    <w:rsid w:val="007548D0"/>
    <w:rsid w:val="00756E9F"/>
    <w:rsid w:val="00757450"/>
    <w:rsid w:val="00762EB7"/>
    <w:rsid w:val="00764A9D"/>
    <w:rsid w:val="00764BCA"/>
    <w:rsid w:val="00765D23"/>
    <w:rsid w:val="00766B7B"/>
    <w:rsid w:val="007679E5"/>
    <w:rsid w:val="00774259"/>
    <w:rsid w:val="007825B9"/>
    <w:rsid w:val="00785B1D"/>
    <w:rsid w:val="00793C83"/>
    <w:rsid w:val="007B39AF"/>
    <w:rsid w:val="007B483E"/>
    <w:rsid w:val="007B4846"/>
    <w:rsid w:val="007B4BA3"/>
    <w:rsid w:val="007B5A7A"/>
    <w:rsid w:val="007B6228"/>
    <w:rsid w:val="007B6FA0"/>
    <w:rsid w:val="007B7049"/>
    <w:rsid w:val="007C2515"/>
    <w:rsid w:val="007C4CEE"/>
    <w:rsid w:val="007C74BB"/>
    <w:rsid w:val="007C7916"/>
    <w:rsid w:val="007D0335"/>
    <w:rsid w:val="007D0FBE"/>
    <w:rsid w:val="007D2883"/>
    <w:rsid w:val="007D4CD8"/>
    <w:rsid w:val="007F1662"/>
    <w:rsid w:val="007F1BB8"/>
    <w:rsid w:val="007F37A2"/>
    <w:rsid w:val="007F3CB6"/>
    <w:rsid w:val="007F6B0C"/>
    <w:rsid w:val="00801E3C"/>
    <w:rsid w:val="00804ED8"/>
    <w:rsid w:val="00812983"/>
    <w:rsid w:val="0082486E"/>
    <w:rsid w:val="008252A5"/>
    <w:rsid w:val="00825475"/>
    <w:rsid w:val="008270C4"/>
    <w:rsid w:val="00835C19"/>
    <w:rsid w:val="00840A17"/>
    <w:rsid w:val="0084286F"/>
    <w:rsid w:val="008440E9"/>
    <w:rsid w:val="00844A8B"/>
    <w:rsid w:val="00847211"/>
    <w:rsid w:val="00847706"/>
    <w:rsid w:val="00847AB9"/>
    <w:rsid w:val="008527D7"/>
    <w:rsid w:val="00854883"/>
    <w:rsid w:val="00857987"/>
    <w:rsid w:val="00862483"/>
    <w:rsid w:val="0087394C"/>
    <w:rsid w:val="00873EA1"/>
    <w:rsid w:val="00874518"/>
    <w:rsid w:val="00876941"/>
    <w:rsid w:val="00880435"/>
    <w:rsid w:val="00883BB1"/>
    <w:rsid w:val="0088502F"/>
    <w:rsid w:val="0088660D"/>
    <w:rsid w:val="00887085"/>
    <w:rsid w:val="00890027"/>
    <w:rsid w:val="00890302"/>
    <w:rsid w:val="008921A4"/>
    <w:rsid w:val="00895B3E"/>
    <w:rsid w:val="008A14BC"/>
    <w:rsid w:val="008A159B"/>
    <w:rsid w:val="008A309E"/>
    <w:rsid w:val="008A371F"/>
    <w:rsid w:val="008A5B8F"/>
    <w:rsid w:val="008A6A9E"/>
    <w:rsid w:val="008A7E94"/>
    <w:rsid w:val="008B0EB0"/>
    <w:rsid w:val="008B3437"/>
    <w:rsid w:val="008B4CC1"/>
    <w:rsid w:val="008B5740"/>
    <w:rsid w:val="008B65CD"/>
    <w:rsid w:val="008C0A87"/>
    <w:rsid w:val="008C6658"/>
    <w:rsid w:val="008E02E7"/>
    <w:rsid w:val="008E1700"/>
    <w:rsid w:val="008E5E01"/>
    <w:rsid w:val="008F07D0"/>
    <w:rsid w:val="008F2444"/>
    <w:rsid w:val="008F2665"/>
    <w:rsid w:val="00902340"/>
    <w:rsid w:val="00902F7F"/>
    <w:rsid w:val="00903FB7"/>
    <w:rsid w:val="00905409"/>
    <w:rsid w:val="00910B4E"/>
    <w:rsid w:val="00912618"/>
    <w:rsid w:val="0091375A"/>
    <w:rsid w:val="009138A4"/>
    <w:rsid w:val="009210BC"/>
    <w:rsid w:val="00925618"/>
    <w:rsid w:val="0092592E"/>
    <w:rsid w:val="0093230F"/>
    <w:rsid w:val="009324C8"/>
    <w:rsid w:val="00932C8D"/>
    <w:rsid w:val="00934A35"/>
    <w:rsid w:val="009352D2"/>
    <w:rsid w:val="00941310"/>
    <w:rsid w:val="00941A89"/>
    <w:rsid w:val="00942633"/>
    <w:rsid w:val="009446C4"/>
    <w:rsid w:val="00944983"/>
    <w:rsid w:val="00944A45"/>
    <w:rsid w:val="00946BA9"/>
    <w:rsid w:val="00950410"/>
    <w:rsid w:val="00950F5B"/>
    <w:rsid w:val="00951CAB"/>
    <w:rsid w:val="00953454"/>
    <w:rsid w:val="009541D9"/>
    <w:rsid w:val="00956016"/>
    <w:rsid w:val="00956E0D"/>
    <w:rsid w:val="00963460"/>
    <w:rsid w:val="00963CFB"/>
    <w:rsid w:val="00964821"/>
    <w:rsid w:val="00966DFF"/>
    <w:rsid w:val="009703E5"/>
    <w:rsid w:val="0097249E"/>
    <w:rsid w:val="009778DE"/>
    <w:rsid w:val="0099772F"/>
    <w:rsid w:val="009A2CF2"/>
    <w:rsid w:val="009A62DB"/>
    <w:rsid w:val="009B64E0"/>
    <w:rsid w:val="009B71A7"/>
    <w:rsid w:val="009C076C"/>
    <w:rsid w:val="009C23FF"/>
    <w:rsid w:val="009C52C4"/>
    <w:rsid w:val="009C5A5A"/>
    <w:rsid w:val="009D1130"/>
    <w:rsid w:val="009D2183"/>
    <w:rsid w:val="009D5383"/>
    <w:rsid w:val="009D6F6B"/>
    <w:rsid w:val="009E0BC2"/>
    <w:rsid w:val="009E1963"/>
    <w:rsid w:val="009F0352"/>
    <w:rsid w:val="009F06D9"/>
    <w:rsid w:val="00A003EE"/>
    <w:rsid w:val="00A01FFF"/>
    <w:rsid w:val="00A03D2E"/>
    <w:rsid w:val="00A11863"/>
    <w:rsid w:val="00A14D04"/>
    <w:rsid w:val="00A177C3"/>
    <w:rsid w:val="00A25462"/>
    <w:rsid w:val="00A25C84"/>
    <w:rsid w:val="00A31F34"/>
    <w:rsid w:val="00A32A29"/>
    <w:rsid w:val="00A35406"/>
    <w:rsid w:val="00A36994"/>
    <w:rsid w:val="00A36FE9"/>
    <w:rsid w:val="00A41307"/>
    <w:rsid w:val="00A43902"/>
    <w:rsid w:val="00A52A43"/>
    <w:rsid w:val="00A53707"/>
    <w:rsid w:val="00A55007"/>
    <w:rsid w:val="00A55A7D"/>
    <w:rsid w:val="00A578B0"/>
    <w:rsid w:val="00A6059E"/>
    <w:rsid w:val="00A62D6F"/>
    <w:rsid w:val="00A6400C"/>
    <w:rsid w:val="00A645F2"/>
    <w:rsid w:val="00A66CA6"/>
    <w:rsid w:val="00A6757D"/>
    <w:rsid w:val="00A75971"/>
    <w:rsid w:val="00A75B40"/>
    <w:rsid w:val="00A75E4E"/>
    <w:rsid w:val="00A810A8"/>
    <w:rsid w:val="00A83727"/>
    <w:rsid w:val="00A86A84"/>
    <w:rsid w:val="00A8725E"/>
    <w:rsid w:val="00A876A2"/>
    <w:rsid w:val="00A946F8"/>
    <w:rsid w:val="00A94862"/>
    <w:rsid w:val="00A961A3"/>
    <w:rsid w:val="00AA06CB"/>
    <w:rsid w:val="00AA3CD8"/>
    <w:rsid w:val="00AB19E3"/>
    <w:rsid w:val="00AB1D4D"/>
    <w:rsid w:val="00AB28AB"/>
    <w:rsid w:val="00AB30E7"/>
    <w:rsid w:val="00AB32D6"/>
    <w:rsid w:val="00AB3973"/>
    <w:rsid w:val="00AB3A57"/>
    <w:rsid w:val="00AC2340"/>
    <w:rsid w:val="00AC6C64"/>
    <w:rsid w:val="00AD2212"/>
    <w:rsid w:val="00AD3A26"/>
    <w:rsid w:val="00AD47B2"/>
    <w:rsid w:val="00AD4FCD"/>
    <w:rsid w:val="00AD73F6"/>
    <w:rsid w:val="00AE0316"/>
    <w:rsid w:val="00AE0ABE"/>
    <w:rsid w:val="00AE1CE7"/>
    <w:rsid w:val="00AF2404"/>
    <w:rsid w:val="00AF552F"/>
    <w:rsid w:val="00B02578"/>
    <w:rsid w:val="00B03C62"/>
    <w:rsid w:val="00B207B8"/>
    <w:rsid w:val="00B21CC9"/>
    <w:rsid w:val="00B21ED6"/>
    <w:rsid w:val="00B220B5"/>
    <w:rsid w:val="00B24625"/>
    <w:rsid w:val="00B24E4E"/>
    <w:rsid w:val="00B27F5F"/>
    <w:rsid w:val="00B339B1"/>
    <w:rsid w:val="00B36B49"/>
    <w:rsid w:val="00B40998"/>
    <w:rsid w:val="00B4153D"/>
    <w:rsid w:val="00B428D3"/>
    <w:rsid w:val="00B441D5"/>
    <w:rsid w:val="00B4500E"/>
    <w:rsid w:val="00B50052"/>
    <w:rsid w:val="00B62CDB"/>
    <w:rsid w:val="00B6434A"/>
    <w:rsid w:val="00B64CAF"/>
    <w:rsid w:val="00B70CC1"/>
    <w:rsid w:val="00B71621"/>
    <w:rsid w:val="00B7204E"/>
    <w:rsid w:val="00B8088D"/>
    <w:rsid w:val="00B83537"/>
    <w:rsid w:val="00B9421F"/>
    <w:rsid w:val="00B94750"/>
    <w:rsid w:val="00B9504D"/>
    <w:rsid w:val="00B950B0"/>
    <w:rsid w:val="00BA13DE"/>
    <w:rsid w:val="00BA3609"/>
    <w:rsid w:val="00BA5223"/>
    <w:rsid w:val="00BB4DDB"/>
    <w:rsid w:val="00BB4EBE"/>
    <w:rsid w:val="00BC14A6"/>
    <w:rsid w:val="00BC1FD0"/>
    <w:rsid w:val="00BD6796"/>
    <w:rsid w:val="00BE3CC3"/>
    <w:rsid w:val="00BF0574"/>
    <w:rsid w:val="00C01BF4"/>
    <w:rsid w:val="00C01FF0"/>
    <w:rsid w:val="00C04A45"/>
    <w:rsid w:val="00C061EA"/>
    <w:rsid w:val="00C062ED"/>
    <w:rsid w:val="00C06A63"/>
    <w:rsid w:val="00C06D6D"/>
    <w:rsid w:val="00C12AEC"/>
    <w:rsid w:val="00C367C3"/>
    <w:rsid w:val="00C37750"/>
    <w:rsid w:val="00C44279"/>
    <w:rsid w:val="00C465A4"/>
    <w:rsid w:val="00C5657A"/>
    <w:rsid w:val="00C56940"/>
    <w:rsid w:val="00C56E2C"/>
    <w:rsid w:val="00C60EBD"/>
    <w:rsid w:val="00C627C4"/>
    <w:rsid w:val="00C64B49"/>
    <w:rsid w:val="00C76930"/>
    <w:rsid w:val="00C76C60"/>
    <w:rsid w:val="00C77C22"/>
    <w:rsid w:val="00C936FD"/>
    <w:rsid w:val="00C955AF"/>
    <w:rsid w:val="00CA24B4"/>
    <w:rsid w:val="00CA4AAF"/>
    <w:rsid w:val="00CA741B"/>
    <w:rsid w:val="00CB1171"/>
    <w:rsid w:val="00CB1AF3"/>
    <w:rsid w:val="00CB269A"/>
    <w:rsid w:val="00CB3D4A"/>
    <w:rsid w:val="00CB47EA"/>
    <w:rsid w:val="00CB5C7A"/>
    <w:rsid w:val="00CC49E9"/>
    <w:rsid w:val="00CC66A9"/>
    <w:rsid w:val="00CD0720"/>
    <w:rsid w:val="00CD1A9B"/>
    <w:rsid w:val="00CD316B"/>
    <w:rsid w:val="00CD3420"/>
    <w:rsid w:val="00CD58DC"/>
    <w:rsid w:val="00CE0F8E"/>
    <w:rsid w:val="00CE3F31"/>
    <w:rsid w:val="00CF265F"/>
    <w:rsid w:val="00CF29C8"/>
    <w:rsid w:val="00CF2C6C"/>
    <w:rsid w:val="00CF5E42"/>
    <w:rsid w:val="00CF736A"/>
    <w:rsid w:val="00D023E4"/>
    <w:rsid w:val="00D04CC9"/>
    <w:rsid w:val="00D11CE7"/>
    <w:rsid w:val="00D12B95"/>
    <w:rsid w:val="00D12DAF"/>
    <w:rsid w:val="00D14B08"/>
    <w:rsid w:val="00D158EB"/>
    <w:rsid w:val="00D164EE"/>
    <w:rsid w:val="00D2121B"/>
    <w:rsid w:val="00D22DFE"/>
    <w:rsid w:val="00D2429A"/>
    <w:rsid w:val="00D36A4A"/>
    <w:rsid w:val="00D42A2D"/>
    <w:rsid w:val="00D462AA"/>
    <w:rsid w:val="00D47FBB"/>
    <w:rsid w:val="00D50E50"/>
    <w:rsid w:val="00D51ACB"/>
    <w:rsid w:val="00D52C45"/>
    <w:rsid w:val="00D54AB2"/>
    <w:rsid w:val="00D600CB"/>
    <w:rsid w:val="00D61ACA"/>
    <w:rsid w:val="00D62541"/>
    <w:rsid w:val="00D67FFD"/>
    <w:rsid w:val="00D71BFD"/>
    <w:rsid w:val="00D71F68"/>
    <w:rsid w:val="00D730AB"/>
    <w:rsid w:val="00D80F5C"/>
    <w:rsid w:val="00D90B8A"/>
    <w:rsid w:val="00D91DD9"/>
    <w:rsid w:val="00D922B2"/>
    <w:rsid w:val="00D9610C"/>
    <w:rsid w:val="00DA2F2D"/>
    <w:rsid w:val="00DA3058"/>
    <w:rsid w:val="00DA64B0"/>
    <w:rsid w:val="00DB11F3"/>
    <w:rsid w:val="00DB3DDA"/>
    <w:rsid w:val="00DB4DE5"/>
    <w:rsid w:val="00DB5B27"/>
    <w:rsid w:val="00DB6570"/>
    <w:rsid w:val="00DB66BD"/>
    <w:rsid w:val="00DB6C76"/>
    <w:rsid w:val="00DB7B94"/>
    <w:rsid w:val="00DC0E33"/>
    <w:rsid w:val="00DC3094"/>
    <w:rsid w:val="00DC46E4"/>
    <w:rsid w:val="00DC50CD"/>
    <w:rsid w:val="00DC6CCC"/>
    <w:rsid w:val="00DC740F"/>
    <w:rsid w:val="00DC78D0"/>
    <w:rsid w:val="00DC7A17"/>
    <w:rsid w:val="00DD22FB"/>
    <w:rsid w:val="00DE4778"/>
    <w:rsid w:val="00DE6160"/>
    <w:rsid w:val="00DF3D5E"/>
    <w:rsid w:val="00DF5E4C"/>
    <w:rsid w:val="00E01562"/>
    <w:rsid w:val="00E017EE"/>
    <w:rsid w:val="00E024CB"/>
    <w:rsid w:val="00E03F4A"/>
    <w:rsid w:val="00E10F91"/>
    <w:rsid w:val="00E138DE"/>
    <w:rsid w:val="00E13945"/>
    <w:rsid w:val="00E164BE"/>
    <w:rsid w:val="00E24EF9"/>
    <w:rsid w:val="00E32D33"/>
    <w:rsid w:val="00E336AB"/>
    <w:rsid w:val="00E33DFA"/>
    <w:rsid w:val="00E351BF"/>
    <w:rsid w:val="00E353C0"/>
    <w:rsid w:val="00E36909"/>
    <w:rsid w:val="00E42C4F"/>
    <w:rsid w:val="00E4330C"/>
    <w:rsid w:val="00E46858"/>
    <w:rsid w:val="00E470E0"/>
    <w:rsid w:val="00E52C0E"/>
    <w:rsid w:val="00E6412D"/>
    <w:rsid w:val="00E6481C"/>
    <w:rsid w:val="00E6588E"/>
    <w:rsid w:val="00E65DFE"/>
    <w:rsid w:val="00E661F9"/>
    <w:rsid w:val="00E67F14"/>
    <w:rsid w:val="00E71428"/>
    <w:rsid w:val="00E73BFB"/>
    <w:rsid w:val="00E7494E"/>
    <w:rsid w:val="00E766FE"/>
    <w:rsid w:val="00E771F6"/>
    <w:rsid w:val="00E8628D"/>
    <w:rsid w:val="00E95141"/>
    <w:rsid w:val="00E955DF"/>
    <w:rsid w:val="00E95A32"/>
    <w:rsid w:val="00E9776F"/>
    <w:rsid w:val="00EA063B"/>
    <w:rsid w:val="00EA565D"/>
    <w:rsid w:val="00EC0074"/>
    <w:rsid w:val="00EC21D1"/>
    <w:rsid w:val="00EC3252"/>
    <w:rsid w:val="00EC4CC1"/>
    <w:rsid w:val="00ED06F6"/>
    <w:rsid w:val="00ED1364"/>
    <w:rsid w:val="00EE028A"/>
    <w:rsid w:val="00EE0E07"/>
    <w:rsid w:val="00EE3E2F"/>
    <w:rsid w:val="00EE3F32"/>
    <w:rsid w:val="00EE73D2"/>
    <w:rsid w:val="00EF40C4"/>
    <w:rsid w:val="00F02239"/>
    <w:rsid w:val="00F02443"/>
    <w:rsid w:val="00F04C23"/>
    <w:rsid w:val="00F0772E"/>
    <w:rsid w:val="00F10343"/>
    <w:rsid w:val="00F133B4"/>
    <w:rsid w:val="00F17A3A"/>
    <w:rsid w:val="00F20DFB"/>
    <w:rsid w:val="00F212C7"/>
    <w:rsid w:val="00F218CF"/>
    <w:rsid w:val="00F218DA"/>
    <w:rsid w:val="00F2448E"/>
    <w:rsid w:val="00F32431"/>
    <w:rsid w:val="00F32D12"/>
    <w:rsid w:val="00F355C2"/>
    <w:rsid w:val="00F35F58"/>
    <w:rsid w:val="00F36B38"/>
    <w:rsid w:val="00F43E2B"/>
    <w:rsid w:val="00F44E6A"/>
    <w:rsid w:val="00F475C5"/>
    <w:rsid w:val="00F5466F"/>
    <w:rsid w:val="00F55129"/>
    <w:rsid w:val="00F60940"/>
    <w:rsid w:val="00F60D98"/>
    <w:rsid w:val="00F622BD"/>
    <w:rsid w:val="00F62473"/>
    <w:rsid w:val="00F6396D"/>
    <w:rsid w:val="00F63C7E"/>
    <w:rsid w:val="00F642B5"/>
    <w:rsid w:val="00F64FD9"/>
    <w:rsid w:val="00F76BC9"/>
    <w:rsid w:val="00F76F67"/>
    <w:rsid w:val="00F7723E"/>
    <w:rsid w:val="00F8147C"/>
    <w:rsid w:val="00F81D0E"/>
    <w:rsid w:val="00F85B11"/>
    <w:rsid w:val="00F86ED9"/>
    <w:rsid w:val="00F9334E"/>
    <w:rsid w:val="00F933C4"/>
    <w:rsid w:val="00F942BC"/>
    <w:rsid w:val="00FA41B5"/>
    <w:rsid w:val="00FA5F17"/>
    <w:rsid w:val="00FA65EF"/>
    <w:rsid w:val="00FA7225"/>
    <w:rsid w:val="00FA7791"/>
    <w:rsid w:val="00FB0D2B"/>
    <w:rsid w:val="00FB1468"/>
    <w:rsid w:val="00FB29BE"/>
    <w:rsid w:val="00FB33BD"/>
    <w:rsid w:val="00FB4F08"/>
    <w:rsid w:val="00FC374C"/>
    <w:rsid w:val="00FC3FF5"/>
    <w:rsid w:val="00FC6B5A"/>
    <w:rsid w:val="00FC7015"/>
    <w:rsid w:val="00FC74DB"/>
    <w:rsid w:val="00FD47A0"/>
    <w:rsid w:val="00FD47AA"/>
    <w:rsid w:val="00FE00BF"/>
    <w:rsid w:val="00FE297A"/>
    <w:rsid w:val="00FE4BA0"/>
    <w:rsid w:val="00FE5D4F"/>
    <w:rsid w:val="00FE7101"/>
    <w:rsid w:val="00FF040A"/>
    <w:rsid w:val="00FF233B"/>
    <w:rsid w:val="00FF5379"/>
    <w:rsid w:val="00FF58E3"/>
    <w:rsid w:val="00FF68C4"/>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link w:val="Contention2Char"/>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paragraph" w:styleId="HTMLAddress">
    <w:name w:val="HTML Address"/>
    <w:basedOn w:val="Normal"/>
    <w:link w:val="HTMLAddressChar"/>
    <w:uiPriority w:val="99"/>
    <w:unhideWhenUsed/>
    <w:rsid w:val="00DB4DE5"/>
    <w:rPr>
      <w:rFonts w:eastAsia="Times New Roman"/>
      <w:i/>
      <w:iCs/>
    </w:rPr>
  </w:style>
  <w:style w:type="character" w:customStyle="1" w:styleId="HTMLAddressChar">
    <w:name w:val="HTML Address Char"/>
    <w:basedOn w:val="DefaultParagraphFont"/>
    <w:link w:val="HTMLAddress"/>
    <w:uiPriority w:val="99"/>
    <w:rsid w:val="00DB4DE5"/>
    <w:rPr>
      <w:rFonts w:ascii="Times New Roman" w:eastAsia="Times New Roman" w:hAnsi="Times New Roman"/>
      <w:i/>
      <w:iCs/>
      <w:sz w:val="24"/>
      <w:szCs w:val="24"/>
    </w:rPr>
  </w:style>
  <w:style w:type="character" w:customStyle="1" w:styleId="contentitem-infocardtoggle">
    <w:name w:val="contentitem-infocard__toggle"/>
    <w:basedOn w:val="DefaultParagraphFont"/>
    <w:rsid w:val="00217C98"/>
  </w:style>
  <w:style w:type="character" w:customStyle="1" w:styleId="contentitem-infocardsnippit">
    <w:name w:val="contentitem-infocard__snippit"/>
    <w:basedOn w:val="DefaultParagraphFont"/>
    <w:rsid w:val="00217C98"/>
  </w:style>
  <w:style w:type="paragraph" w:customStyle="1" w:styleId="css-158dogj">
    <w:name w:val="css-158dogj"/>
    <w:basedOn w:val="Normal"/>
    <w:rsid w:val="0058673E"/>
    <w:pPr>
      <w:spacing w:before="100" w:beforeAutospacing="1" w:after="100" w:afterAutospacing="1"/>
    </w:pPr>
    <w:rPr>
      <w:rFonts w:eastAsia="Times New Roman"/>
    </w:rPr>
  </w:style>
  <w:style w:type="character" w:customStyle="1" w:styleId="css-1baulvz">
    <w:name w:val="css-1baulvz"/>
    <w:basedOn w:val="DefaultParagraphFont"/>
    <w:rsid w:val="0058673E"/>
  </w:style>
  <w:style w:type="character" w:customStyle="1" w:styleId="mntl-inline-citation">
    <w:name w:val="mntl-inline-citation"/>
    <w:basedOn w:val="DefaultParagraphFont"/>
    <w:rsid w:val="00454D85"/>
  </w:style>
  <w:style w:type="character" w:customStyle="1" w:styleId="comp">
    <w:name w:val="comp"/>
    <w:basedOn w:val="DefaultParagraphFont"/>
    <w:rsid w:val="00E955DF"/>
  </w:style>
  <w:style w:type="character" w:customStyle="1" w:styleId="UnresolvedMention1">
    <w:name w:val="Unresolved Mention1"/>
    <w:basedOn w:val="DefaultParagraphFont"/>
    <w:uiPriority w:val="99"/>
    <w:semiHidden/>
    <w:unhideWhenUsed/>
    <w:rsid w:val="006E0FAB"/>
    <w:rPr>
      <w:color w:val="605E5C"/>
      <w:shd w:val="clear" w:color="auto" w:fill="E1DFDD"/>
    </w:rPr>
  </w:style>
  <w:style w:type="character" w:customStyle="1" w:styleId="u-visually-hidden">
    <w:name w:val="u-visually-hidden"/>
    <w:basedOn w:val="DefaultParagraphFont"/>
    <w:rsid w:val="00F8147C"/>
  </w:style>
  <w:style w:type="character" w:customStyle="1" w:styleId="Contention2Char">
    <w:name w:val="Contention 2 Char"/>
    <w:basedOn w:val="DefaultParagraphFont"/>
    <w:link w:val="Contention2"/>
    <w:locked/>
    <w:rsid w:val="00A810A8"/>
    <w:rPr>
      <w:rFonts w:ascii="Times New Roman" w:eastAsia="Times New Roman" w:hAnsi="Times New Roman"/>
      <w:b/>
      <w:bCs/>
      <w:color w:val="000000"/>
      <w:lang w:eastAsia="fr-FR"/>
    </w:rPr>
  </w:style>
  <w:style w:type="character" w:customStyle="1" w:styleId="s2">
    <w:name w:val="s2"/>
    <w:basedOn w:val="DefaultParagraphFont"/>
    <w:rsid w:val="00576140"/>
  </w:style>
  <w:style w:type="paragraph" w:customStyle="1" w:styleId="article-contentdescription">
    <w:name w:val="article-content__description"/>
    <w:basedOn w:val="Normal"/>
    <w:rsid w:val="005E2D97"/>
    <w:pPr>
      <w:spacing w:before="100" w:beforeAutospacing="1" w:after="100" w:afterAutospacing="1"/>
    </w:pPr>
    <w:rPr>
      <w:rFonts w:eastAsia="Times New Roman"/>
    </w:rPr>
  </w:style>
  <w:style w:type="character" w:customStyle="1" w:styleId="addmd">
    <w:name w:val="addmd"/>
    <w:basedOn w:val="DefaultParagraphFont"/>
    <w:rsid w:val="00876941"/>
  </w:style>
  <w:style w:type="paragraph" w:customStyle="1" w:styleId="paragraph-paragraph-2bgue">
    <w:name w:val="paragraph-paragraph-2bgue"/>
    <w:basedOn w:val="Normal"/>
    <w:rsid w:val="00DB6C76"/>
    <w:pPr>
      <w:spacing w:before="100" w:beforeAutospacing="1" w:after="100" w:afterAutospacing="1"/>
    </w:pPr>
    <w:rPr>
      <w:rFonts w:eastAsia="Times New Roman"/>
    </w:rPr>
  </w:style>
  <w:style w:type="paragraph" w:customStyle="1" w:styleId="byline-byline-1svmo">
    <w:name w:val="byline-byline-1svmo"/>
    <w:basedOn w:val="Normal"/>
    <w:rsid w:val="00DB6C76"/>
    <w:pPr>
      <w:spacing w:before="100" w:beforeAutospacing="1" w:after="100" w:afterAutospacing="1"/>
    </w:pPr>
    <w:rPr>
      <w:rFonts w:eastAsia="Times New Roman"/>
    </w:rPr>
  </w:style>
  <w:style w:type="paragraph" w:customStyle="1" w:styleId="textlabeltext-label3ocvw">
    <w:name w:val="textlabel__text-label___3ocvw"/>
    <w:basedOn w:val="Normal"/>
    <w:rsid w:val="00DB6C76"/>
    <w:pPr>
      <w:spacing w:before="100" w:beforeAutospacing="1" w:after="100" w:afterAutospacing="1"/>
    </w:pPr>
    <w:rPr>
      <w:rFonts w:eastAsia="Times New Roman"/>
    </w:rPr>
  </w:style>
  <w:style w:type="paragraph" w:customStyle="1" w:styleId="western">
    <w:name w:val="western"/>
    <w:basedOn w:val="Normal"/>
    <w:rsid w:val="007B5A7A"/>
    <w:pPr>
      <w:spacing w:before="100" w:beforeAutospacing="1" w:after="100" w:afterAutospacing="1"/>
    </w:pPr>
    <w:rPr>
      <w:rFonts w:eastAsia="Times New Roman"/>
    </w:rPr>
  </w:style>
  <w:style w:type="paragraph" w:customStyle="1" w:styleId="cdt4ke">
    <w:name w:val="cdt4ke"/>
    <w:basedOn w:val="Normal"/>
    <w:rsid w:val="002666C7"/>
    <w:pPr>
      <w:spacing w:before="100" w:beforeAutospacing="1" w:after="100" w:afterAutospacing="1"/>
    </w:pPr>
    <w:rPr>
      <w:rFonts w:eastAsia="Times New Roman"/>
    </w:rPr>
  </w:style>
  <w:style w:type="character" w:customStyle="1" w:styleId="tooltip-container">
    <w:name w:val="tooltip-container"/>
    <w:basedOn w:val="DefaultParagraphFont"/>
    <w:rsid w:val="00F85B11"/>
  </w:style>
  <w:style w:type="paragraph" w:customStyle="1" w:styleId="Default">
    <w:name w:val="Default"/>
    <w:rsid w:val="00B4153D"/>
    <w:pPr>
      <w:autoSpaceDE w:val="0"/>
      <w:autoSpaceDN w:val="0"/>
      <w:adjustRightInd w:val="0"/>
    </w:pPr>
    <w:rPr>
      <w:rFonts w:ascii="Myriad Pro" w:hAnsi="Myriad Pro" w:cs="Myriad Pro"/>
      <w:color w:val="000000"/>
      <w:sz w:val="24"/>
      <w:szCs w:val="24"/>
    </w:rPr>
  </w:style>
  <w:style w:type="paragraph" w:customStyle="1" w:styleId="Normal1">
    <w:name w:val="Normal1"/>
    <w:basedOn w:val="Normal"/>
    <w:rsid w:val="00F64FD9"/>
    <w:pPr>
      <w:spacing w:before="100" w:beforeAutospacing="1" w:after="100" w:afterAutospacing="1"/>
    </w:pPr>
    <w:rPr>
      <w:rFonts w:eastAsia="Times New Roman"/>
    </w:rPr>
  </w:style>
  <w:style w:type="paragraph" w:customStyle="1" w:styleId="CM12">
    <w:name w:val="CM12"/>
    <w:basedOn w:val="Default"/>
    <w:next w:val="Default"/>
    <w:uiPriority w:val="99"/>
    <w:rsid w:val="00847211"/>
    <w:pPr>
      <w:spacing w:line="256" w:lineRule="atLeast"/>
    </w:pPr>
    <w:rPr>
      <w:rFonts w:ascii="Helvetica 55 Roman" w:hAnsi="Helvetica 55 Roman" w:cs="Times New Roman"/>
      <w:color w:val="auto"/>
    </w:rPr>
  </w:style>
  <w:style w:type="character" w:customStyle="1" w:styleId="A1">
    <w:name w:val="A1"/>
    <w:uiPriority w:val="99"/>
    <w:rsid w:val="00073EFF"/>
    <w:rPr>
      <w:rFonts w:cs="DaxlinePro-Bold"/>
      <w:b/>
      <w:bCs/>
      <w:color w:val="000000"/>
      <w:sz w:val="60"/>
      <w:szCs w:val="60"/>
    </w:rPr>
  </w:style>
  <w:style w:type="character" w:customStyle="1" w:styleId="Subtitle1">
    <w:name w:val="Subtitle1"/>
    <w:basedOn w:val="DefaultParagraphFont"/>
    <w:rsid w:val="00A94862"/>
  </w:style>
  <w:style w:type="character" w:customStyle="1" w:styleId="entry-author">
    <w:name w:val="entry-author"/>
    <w:basedOn w:val="DefaultParagraphFont"/>
    <w:rsid w:val="00341B66"/>
  </w:style>
  <w:style w:type="paragraph" w:customStyle="1" w:styleId="css-38z03z">
    <w:name w:val="css-38z03z"/>
    <w:basedOn w:val="Normal"/>
    <w:rsid w:val="005D1532"/>
    <w:pPr>
      <w:spacing w:before="100" w:beforeAutospacing="1" w:after="100" w:afterAutospacing="1"/>
    </w:pPr>
    <w:rPr>
      <w:rFonts w:eastAsia="Times New Roman"/>
    </w:rPr>
  </w:style>
  <w:style w:type="character" w:customStyle="1" w:styleId="account-id">
    <w:name w:val="account-id"/>
    <w:basedOn w:val="DefaultParagraphFont"/>
    <w:rsid w:val="002E0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7872533">
      <w:bodyDiv w:val="1"/>
      <w:marLeft w:val="0"/>
      <w:marRight w:val="0"/>
      <w:marTop w:val="0"/>
      <w:marBottom w:val="0"/>
      <w:divBdr>
        <w:top w:val="none" w:sz="0" w:space="0" w:color="auto"/>
        <w:left w:val="none" w:sz="0" w:space="0" w:color="auto"/>
        <w:bottom w:val="none" w:sz="0" w:space="0" w:color="auto"/>
        <w:right w:val="none" w:sz="0" w:space="0" w:color="auto"/>
      </w:divBdr>
    </w:div>
    <w:div w:id="8333239">
      <w:bodyDiv w:val="1"/>
      <w:marLeft w:val="0"/>
      <w:marRight w:val="0"/>
      <w:marTop w:val="0"/>
      <w:marBottom w:val="0"/>
      <w:divBdr>
        <w:top w:val="none" w:sz="0" w:space="0" w:color="auto"/>
        <w:left w:val="none" w:sz="0" w:space="0" w:color="auto"/>
        <w:bottom w:val="none" w:sz="0" w:space="0" w:color="auto"/>
        <w:right w:val="none" w:sz="0" w:space="0" w:color="auto"/>
      </w:divBdr>
    </w:div>
    <w:div w:id="16663123">
      <w:bodyDiv w:val="1"/>
      <w:marLeft w:val="0"/>
      <w:marRight w:val="0"/>
      <w:marTop w:val="0"/>
      <w:marBottom w:val="0"/>
      <w:divBdr>
        <w:top w:val="none" w:sz="0" w:space="0" w:color="auto"/>
        <w:left w:val="none" w:sz="0" w:space="0" w:color="auto"/>
        <w:bottom w:val="none" w:sz="0" w:space="0" w:color="auto"/>
        <w:right w:val="none" w:sz="0" w:space="0" w:color="auto"/>
      </w:divBdr>
    </w:div>
    <w:div w:id="20595365">
      <w:bodyDiv w:val="1"/>
      <w:marLeft w:val="0"/>
      <w:marRight w:val="0"/>
      <w:marTop w:val="0"/>
      <w:marBottom w:val="0"/>
      <w:divBdr>
        <w:top w:val="none" w:sz="0" w:space="0" w:color="auto"/>
        <w:left w:val="none" w:sz="0" w:space="0" w:color="auto"/>
        <w:bottom w:val="none" w:sz="0" w:space="0" w:color="auto"/>
        <w:right w:val="none" w:sz="0" w:space="0" w:color="auto"/>
      </w:divBdr>
    </w:div>
    <w:div w:id="40786622">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1485872">
      <w:bodyDiv w:val="1"/>
      <w:marLeft w:val="0"/>
      <w:marRight w:val="0"/>
      <w:marTop w:val="0"/>
      <w:marBottom w:val="0"/>
      <w:divBdr>
        <w:top w:val="none" w:sz="0" w:space="0" w:color="auto"/>
        <w:left w:val="none" w:sz="0" w:space="0" w:color="auto"/>
        <w:bottom w:val="none" w:sz="0" w:space="0" w:color="auto"/>
        <w:right w:val="none" w:sz="0" w:space="0" w:color="auto"/>
      </w:divBdr>
    </w:div>
    <w:div w:id="62720784">
      <w:bodyDiv w:val="1"/>
      <w:marLeft w:val="0"/>
      <w:marRight w:val="0"/>
      <w:marTop w:val="0"/>
      <w:marBottom w:val="0"/>
      <w:divBdr>
        <w:top w:val="none" w:sz="0" w:space="0" w:color="auto"/>
        <w:left w:val="none" w:sz="0" w:space="0" w:color="auto"/>
        <w:bottom w:val="none" w:sz="0" w:space="0" w:color="auto"/>
        <w:right w:val="none" w:sz="0" w:space="0" w:color="auto"/>
      </w:divBdr>
    </w:div>
    <w:div w:id="64843069">
      <w:bodyDiv w:val="1"/>
      <w:marLeft w:val="0"/>
      <w:marRight w:val="0"/>
      <w:marTop w:val="0"/>
      <w:marBottom w:val="0"/>
      <w:divBdr>
        <w:top w:val="none" w:sz="0" w:space="0" w:color="auto"/>
        <w:left w:val="none" w:sz="0" w:space="0" w:color="auto"/>
        <w:bottom w:val="none" w:sz="0" w:space="0" w:color="auto"/>
        <w:right w:val="none" w:sz="0" w:space="0" w:color="auto"/>
      </w:divBdr>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4637570">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5538552">
      <w:bodyDiv w:val="1"/>
      <w:marLeft w:val="0"/>
      <w:marRight w:val="0"/>
      <w:marTop w:val="0"/>
      <w:marBottom w:val="0"/>
      <w:divBdr>
        <w:top w:val="none" w:sz="0" w:space="0" w:color="auto"/>
        <w:left w:val="none" w:sz="0" w:space="0" w:color="auto"/>
        <w:bottom w:val="none" w:sz="0" w:space="0" w:color="auto"/>
        <w:right w:val="none" w:sz="0" w:space="0" w:color="auto"/>
      </w:divBdr>
    </w:div>
    <w:div w:id="136995942">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4584194">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5282814">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09020002">
      <w:bodyDiv w:val="1"/>
      <w:marLeft w:val="0"/>
      <w:marRight w:val="0"/>
      <w:marTop w:val="0"/>
      <w:marBottom w:val="0"/>
      <w:divBdr>
        <w:top w:val="none" w:sz="0" w:space="0" w:color="auto"/>
        <w:left w:val="none" w:sz="0" w:space="0" w:color="auto"/>
        <w:bottom w:val="none" w:sz="0" w:space="0" w:color="auto"/>
        <w:right w:val="none" w:sz="0" w:space="0" w:color="auto"/>
      </w:divBdr>
    </w:div>
    <w:div w:id="311443465">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2124726">
      <w:bodyDiv w:val="1"/>
      <w:marLeft w:val="0"/>
      <w:marRight w:val="0"/>
      <w:marTop w:val="0"/>
      <w:marBottom w:val="0"/>
      <w:divBdr>
        <w:top w:val="none" w:sz="0" w:space="0" w:color="auto"/>
        <w:left w:val="none" w:sz="0" w:space="0" w:color="auto"/>
        <w:bottom w:val="none" w:sz="0" w:space="0" w:color="auto"/>
        <w:right w:val="none" w:sz="0" w:space="0" w:color="auto"/>
      </w:divBdr>
    </w:div>
    <w:div w:id="323164350">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5420006">
      <w:bodyDiv w:val="1"/>
      <w:marLeft w:val="0"/>
      <w:marRight w:val="0"/>
      <w:marTop w:val="0"/>
      <w:marBottom w:val="0"/>
      <w:divBdr>
        <w:top w:val="none" w:sz="0" w:space="0" w:color="auto"/>
        <w:left w:val="none" w:sz="0" w:space="0" w:color="auto"/>
        <w:bottom w:val="none" w:sz="0" w:space="0" w:color="auto"/>
        <w:right w:val="none" w:sz="0" w:space="0" w:color="auto"/>
      </w:divBdr>
    </w:div>
    <w:div w:id="347560660">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380983620">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0811389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31975512">
      <w:bodyDiv w:val="1"/>
      <w:marLeft w:val="0"/>
      <w:marRight w:val="0"/>
      <w:marTop w:val="0"/>
      <w:marBottom w:val="0"/>
      <w:divBdr>
        <w:top w:val="none" w:sz="0" w:space="0" w:color="auto"/>
        <w:left w:val="none" w:sz="0" w:space="0" w:color="auto"/>
        <w:bottom w:val="none" w:sz="0" w:space="0" w:color="auto"/>
        <w:right w:val="none" w:sz="0" w:space="0" w:color="auto"/>
      </w:divBdr>
    </w:div>
    <w:div w:id="438528294">
      <w:bodyDiv w:val="1"/>
      <w:marLeft w:val="0"/>
      <w:marRight w:val="0"/>
      <w:marTop w:val="0"/>
      <w:marBottom w:val="0"/>
      <w:divBdr>
        <w:top w:val="none" w:sz="0" w:space="0" w:color="auto"/>
        <w:left w:val="none" w:sz="0" w:space="0" w:color="auto"/>
        <w:bottom w:val="none" w:sz="0" w:space="0" w:color="auto"/>
        <w:right w:val="none" w:sz="0" w:space="0" w:color="auto"/>
      </w:divBdr>
    </w:div>
    <w:div w:id="439686838">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495725090">
      <w:bodyDiv w:val="1"/>
      <w:marLeft w:val="0"/>
      <w:marRight w:val="0"/>
      <w:marTop w:val="0"/>
      <w:marBottom w:val="0"/>
      <w:divBdr>
        <w:top w:val="none" w:sz="0" w:space="0" w:color="auto"/>
        <w:left w:val="none" w:sz="0" w:space="0" w:color="auto"/>
        <w:bottom w:val="none" w:sz="0" w:space="0" w:color="auto"/>
        <w:right w:val="none" w:sz="0" w:space="0" w:color="auto"/>
      </w:divBdr>
    </w:div>
    <w:div w:id="499009498">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09949369">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45725402">
      <w:bodyDiv w:val="1"/>
      <w:marLeft w:val="0"/>
      <w:marRight w:val="0"/>
      <w:marTop w:val="0"/>
      <w:marBottom w:val="0"/>
      <w:divBdr>
        <w:top w:val="none" w:sz="0" w:space="0" w:color="auto"/>
        <w:left w:val="none" w:sz="0" w:space="0" w:color="auto"/>
        <w:bottom w:val="none" w:sz="0" w:space="0" w:color="auto"/>
        <w:right w:val="none" w:sz="0" w:space="0" w:color="auto"/>
      </w:divBdr>
    </w:div>
    <w:div w:id="546572850">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1890283">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85845027">
      <w:bodyDiv w:val="1"/>
      <w:marLeft w:val="0"/>
      <w:marRight w:val="0"/>
      <w:marTop w:val="0"/>
      <w:marBottom w:val="0"/>
      <w:divBdr>
        <w:top w:val="none" w:sz="0" w:space="0" w:color="auto"/>
        <w:left w:val="none" w:sz="0" w:space="0" w:color="auto"/>
        <w:bottom w:val="none" w:sz="0" w:space="0" w:color="auto"/>
        <w:right w:val="none" w:sz="0" w:space="0" w:color="auto"/>
      </w:divBdr>
    </w:div>
    <w:div w:id="587884486">
      <w:bodyDiv w:val="1"/>
      <w:marLeft w:val="0"/>
      <w:marRight w:val="0"/>
      <w:marTop w:val="0"/>
      <w:marBottom w:val="0"/>
      <w:divBdr>
        <w:top w:val="none" w:sz="0" w:space="0" w:color="auto"/>
        <w:left w:val="none" w:sz="0" w:space="0" w:color="auto"/>
        <w:bottom w:val="none" w:sz="0" w:space="0" w:color="auto"/>
        <w:right w:val="none" w:sz="0" w:space="0" w:color="auto"/>
      </w:divBdr>
    </w:div>
    <w:div w:id="598103106">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01114438">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17613249">
      <w:bodyDiv w:val="1"/>
      <w:marLeft w:val="0"/>
      <w:marRight w:val="0"/>
      <w:marTop w:val="0"/>
      <w:marBottom w:val="0"/>
      <w:divBdr>
        <w:top w:val="none" w:sz="0" w:space="0" w:color="auto"/>
        <w:left w:val="none" w:sz="0" w:space="0" w:color="auto"/>
        <w:bottom w:val="none" w:sz="0" w:space="0" w:color="auto"/>
        <w:right w:val="none" w:sz="0" w:space="0" w:color="auto"/>
      </w:divBdr>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52449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0918594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549138">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35400423">
      <w:bodyDiv w:val="1"/>
      <w:marLeft w:val="0"/>
      <w:marRight w:val="0"/>
      <w:marTop w:val="0"/>
      <w:marBottom w:val="0"/>
      <w:divBdr>
        <w:top w:val="none" w:sz="0" w:space="0" w:color="auto"/>
        <w:left w:val="none" w:sz="0" w:space="0" w:color="auto"/>
        <w:bottom w:val="none" w:sz="0" w:space="0" w:color="auto"/>
        <w:right w:val="none" w:sz="0" w:space="0" w:color="auto"/>
      </w:divBdr>
    </w:div>
    <w:div w:id="741637356">
      <w:bodyDiv w:val="1"/>
      <w:marLeft w:val="0"/>
      <w:marRight w:val="0"/>
      <w:marTop w:val="0"/>
      <w:marBottom w:val="0"/>
      <w:divBdr>
        <w:top w:val="none" w:sz="0" w:space="0" w:color="auto"/>
        <w:left w:val="none" w:sz="0" w:space="0" w:color="auto"/>
        <w:bottom w:val="none" w:sz="0" w:space="0" w:color="auto"/>
        <w:right w:val="none" w:sz="0" w:space="0" w:color="auto"/>
      </w:divBdr>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47076472">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79688530">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1896690">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0802016">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46938917">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2155016">
      <w:bodyDiv w:val="1"/>
      <w:marLeft w:val="0"/>
      <w:marRight w:val="0"/>
      <w:marTop w:val="0"/>
      <w:marBottom w:val="0"/>
      <w:divBdr>
        <w:top w:val="none" w:sz="0" w:space="0" w:color="auto"/>
        <w:left w:val="none" w:sz="0" w:space="0" w:color="auto"/>
        <w:bottom w:val="none" w:sz="0" w:space="0" w:color="auto"/>
        <w:right w:val="none" w:sz="0" w:space="0" w:color="auto"/>
      </w:divBdr>
    </w:div>
    <w:div w:id="896664092">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897863511">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56260041">
      <w:bodyDiv w:val="1"/>
      <w:marLeft w:val="0"/>
      <w:marRight w:val="0"/>
      <w:marTop w:val="0"/>
      <w:marBottom w:val="0"/>
      <w:divBdr>
        <w:top w:val="none" w:sz="0" w:space="0" w:color="auto"/>
        <w:left w:val="none" w:sz="0" w:space="0" w:color="auto"/>
        <w:bottom w:val="none" w:sz="0" w:space="0" w:color="auto"/>
        <w:right w:val="none" w:sz="0" w:space="0" w:color="auto"/>
      </w:divBdr>
    </w:div>
    <w:div w:id="956910299">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28486719">
      <w:bodyDiv w:val="1"/>
      <w:marLeft w:val="0"/>
      <w:marRight w:val="0"/>
      <w:marTop w:val="0"/>
      <w:marBottom w:val="0"/>
      <w:divBdr>
        <w:top w:val="none" w:sz="0" w:space="0" w:color="auto"/>
        <w:left w:val="none" w:sz="0" w:space="0" w:color="auto"/>
        <w:bottom w:val="none" w:sz="0" w:space="0" w:color="auto"/>
        <w:right w:val="none" w:sz="0" w:space="0" w:color="auto"/>
      </w:divBdr>
      <w:divsChild>
        <w:div w:id="1702777171">
          <w:marLeft w:val="0"/>
          <w:marRight w:val="0"/>
          <w:marTop w:val="0"/>
          <w:marBottom w:val="0"/>
          <w:divBdr>
            <w:top w:val="none" w:sz="0" w:space="0" w:color="auto"/>
            <w:left w:val="none" w:sz="0" w:space="0" w:color="auto"/>
            <w:bottom w:val="none" w:sz="0" w:space="0" w:color="auto"/>
            <w:right w:val="none" w:sz="0" w:space="0" w:color="auto"/>
          </w:divBdr>
        </w:div>
        <w:div w:id="1862402063">
          <w:marLeft w:val="0"/>
          <w:marRight w:val="0"/>
          <w:marTop w:val="0"/>
          <w:marBottom w:val="0"/>
          <w:divBdr>
            <w:top w:val="none" w:sz="0" w:space="0" w:color="auto"/>
            <w:left w:val="none" w:sz="0" w:space="0" w:color="auto"/>
            <w:bottom w:val="none" w:sz="0" w:space="0" w:color="auto"/>
            <w:right w:val="none" w:sz="0" w:space="0" w:color="auto"/>
          </w:divBdr>
        </w:div>
      </w:divsChild>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05224870">
      <w:bodyDiv w:val="1"/>
      <w:marLeft w:val="0"/>
      <w:marRight w:val="0"/>
      <w:marTop w:val="0"/>
      <w:marBottom w:val="0"/>
      <w:divBdr>
        <w:top w:val="none" w:sz="0" w:space="0" w:color="auto"/>
        <w:left w:val="none" w:sz="0" w:space="0" w:color="auto"/>
        <w:bottom w:val="none" w:sz="0" w:space="0" w:color="auto"/>
        <w:right w:val="none" w:sz="0" w:space="0" w:color="auto"/>
      </w:divBdr>
    </w:div>
    <w:div w:id="1112898605">
      <w:bodyDiv w:val="1"/>
      <w:marLeft w:val="0"/>
      <w:marRight w:val="0"/>
      <w:marTop w:val="0"/>
      <w:marBottom w:val="0"/>
      <w:divBdr>
        <w:top w:val="none" w:sz="0" w:space="0" w:color="auto"/>
        <w:left w:val="none" w:sz="0" w:space="0" w:color="auto"/>
        <w:bottom w:val="none" w:sz="0" w:space="0" w:color="auto"/>
        <w:right w:val="none" w:sz="0" w:space="0" w:color="auto"/>
      </w:divBdr>
    </w:div>
    <w:div w:id="1113132515">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0488174">
      <w:bodyDiv w:val="1"/>
      <w:marLeft w:val="0"/>
      <w:marRight w:val="0"/>
      <w:marTop w:val="0"/>
      <w:marBottom w:val="0"/>
      <w:divBdr>
        <w:top w:val="none" w:sz="0" w:space="0" w:color="auto"/>
        <w:left w:val="none" w:sz="0" w:space="0" w:color="auto"/>
        <w:bottom w:val="none" w:sz="0" w:space="0" w:color="auto"/>
        <w:right w:val="none" w:sz="0" w:space="0" w:color="auto"/>
      </w:divBdr>
    </w:div>
    <w:div w:id="1122043382">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40223016">
      <w:bodyDiv w:val="1"/>
      <w:marLeft w:val="0"/>
      <w:marRight w:val="0"/>
      <w:marTop w:val="0"/>
      <w:marBottom w:val="0"/>
      <w:divBdr>
        <w:top w:val="none" w:sz="0" w:space="0" w:color="auto"/>
        <w:left w:val="none" w:sz="0" w:space="0" w:color="auto"/>
        <w:bottom w:val="none" w:sz="0" w:space="0" w:color="auto"/>
        <w:right w:val="none" w:sz="0" w:space="0" w:color="auto"/>
      </w:divBdr>
    </w:div>
    <w:div w:id="1164278019">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640889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343627">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1480559">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14389544">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686317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5915486">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62909189">
      <w:bodyDiv w:val="1"/>
      <w:marLeft w:val="0"/>
      <w:marRight w:val="0"/>
      <w:marTop w:val="0"/>
      <w:marBottom w:val="0"/>
      <w:divBdr>
        <w:top w:val="none" w:sz="0" w:space="0" w:color="auto"/>
        <w:left w:val="none" w:sz="0" w:space="0" w:color="auto"/>
        <w:bottom w:val="none" w:sz="0" w:space="0" w:color="auto"/>
        <w:right w:val="none" w:sz="0" w:space="0" w:color="auto"/>
      </w:divBdr>
      <w:divsChild>
        <w:div w:id="200672882">
          <w:marLeft w:val="0"/>
          <w:marRight w:val="0"/>
          <w:marTop w:val="0"/>
          <w:marBottom w:val="0"/>
          <w:divBdr>
            <w:top w:val="none" w:sz="0" w:space="0" w:color="auto"/>
            <w:left w:val="none" w:sz="0" w:space="0" w:color="auto"/>
            <w:bottom w:val="none" w:sz="0" w:space="0" w:color="auto"/>
            <w:right w:val="none" w:sz="0" w:space="0" w:color="auto"/>
          </w:divBdr>
        </w:div>
      </w:divsChild>
    </w:div>
    <w:div w:id="1268851836">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792813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291548469">
      <w:bodyDiv w:val="1"/>
      <w:marLeft w:val="0"/>
      <w:marRight w:val="0"/>
      <w:marTop w:val="0"/>
      <w:marBottom w:val="0"/>
      <w:divBdr>
        <w:top w:val="none" w:sz="0" w:space="0" w:color="auto"/>
        <w:left w:val="none" w:sz="0" w:space="0" w:color="auto"/>
        <w:bottom w:val="none" w:sz="0" w:space="0" w:color="auto"/>
        <w:right w:val="none" w:sz="0" w:space="0" w:color="auto"/>
      </w:divBdr>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21808392">
      <w:bodyDiv w:val="1"/>
      <w:marLeft w:val="0"/>
      <w:marRight w:val="0"/>
      <w:marTop w:val="0"/>
      <w:marBottom w:val="0"/>
      <w:divBdr>
        <w:top w:val="none" w:sz="0" w:space="0" w:color="auto"/>
        <w:left w:val="none" w:sz="0" w:space="0" w:color="auto"/>
        <w:bottom w:val="none" w:sz="0" w:space="0" w:color="auto"/>
        <w:right w:val="none" w:sz="0" w:space="0" w:color="auto"/>
      </w:divBdr>
      <w:divsChild>
        <w:div w:id="1507205667">
          <w:marLeft w:val="900"/>
          <w:marRight w:val="900"/>
          <w:marTop w:val="0"/>
          <w:marBottom w:val="0"/>
          <w:divBdr>
            <w:top w:val="none" w:sz="0" w:space="0" w:color="auto"/>
            <w:left w:val="none" w:sz="0" w:space="0" w:color="auto"/>
            <w:bottom w:val="none" w:sz="0" w:space="0" w:color="auto"/>
            <w:right w:val="none" w:sz="0" w:space="0" w:color="auto"/>
          </w:divBdr>
        </w:div>
        <w:div w:id="170533168">
          <w:marLeft w:val="0"/>
          <w:marRight w:val="0"/>
          <w:marTop w:val="0"/>
          <w:marBottom w:val="0"/>
          <w:divBdr>
            <w:top w:val="none" w:sz="0" w:space="0" w:color="auto"/>
            <w:left w:val="none" w:sz="0" w:space="0" w:color="auto"/>
            <w:bottom w:val="none" w:sz="0" w:space="0" w:color="auto"/>
            <w:right w:val="none" w:sz="0" w:space="0" w:color="auto"/>
          </w:divBdr>
        </w:div>
      </w:divsChild>
    </w:div>
    <w:div w:id="1329014655">
      <w:bodyDiv w:val="1"/>
      <w:marLeft w:val="0"/>
      <w:marRight w:val="0"/>
      <w:marTop w:val="0"/>
      <w:marBottom w:val="0"/>
      <w:divBdr>
        <w:top w:val="none" w:sz="0" w:space="0" w:color="auto"/>
        <w:left w:val="none" w:sz="0" w:space="0" w:color="auto"/>
        <w:bottom w:val="none" w:sz="0" w:space="0" w:color="auto"/>
        <w:right w:val="none" w:sz="0" w:space="0" w:color="auto"/>
      </w:divBdr>
      <w:divsChild>
        <w:div w:id="1201749906">
          <w:marLeft w:val="0"/>
          <w:marRight w:val="0"/>
          <w:marTop w:val="0"/>
          <w:marBottom w:val="0"/>
          <w:divBdr>
            <w:top w:val="none" w:sz="0" w:space="0" w:color="auto"/>
            <w:left w:val="none" w:sz="0" w:space="0" w:color="auto"/>
            <w:bottom w:val="none" w:sz="0" w:space="0" w:color="auto"/>
            <w:right w:val="none" w:sz="0" w:space="0" w:color="auto"/>
          </w:divBdr>
        </w:div>
        <w:div w:id="1487437375">
          <w:marLeft w:val="0"/>
          <w:marRight w:val="0"/>
          <w:marTop w:val="0"/>
          <w:marBottom w:val="0"/>
          <w:divBdr>
            <w:top w:val="none" w:sz="0" w:space="0" w:color="auto"/>
            <w:left w:val="none" w:sz="0" w:space="0" w:color="auto"/>
            <w:bottom w:val="none" w:sz="0" w:space="0" w:color="auto"/>
            <w:right w:val="none" w:sz="0" w:space="0" w:color="auto"/>
          </w:divBdr>
        </w:div>
        <w:div w:id="1635482972">
          <w:marLeft w:val="0"/>
          <w:marRight w:val="0"/>
          <w:marTop w:val="0"/>
          <w:marBottom w:val="0"/>
          <w:divBdr>
            <w:top w:val="none" w:sz="0" w:space="0" w:color="auto"/>
            <w:left w:val="none" w:sz="0" w:space="0" w:color="auto"/>
            <w:bottom w:val="none" w:sz="0" w:space="0" w:color="auto"/>
            <w:right w:val="none" w:sz="0" w:space="0" w:color="auto"/>
          </w:divBdr>
        </w:div>
      </w:divsChild>
    </w:div>
    <w:div w:id="1332372521">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42469994">
      <w:bodyDiv w:val="1"/>
      <w:marLeft w:val="0"/>
      <w:marRight w:val="0"/>
      <w:marTop w:val="0"/>
      <w:marBottom w:val="0"/>
      <w:divBdr>
        <w:top w:val="none" w:sz="0" w:space="0" w:color="auto"/>
        <w:left w:val="none" w:sz="0" w:space="0" w:color="auto"/>
        <w:bottom w:val="none" w:sz="0" w:space="0" w:color="auto"/>
        <w:right w:val="none" w:sz="0" w:space="0" w:color="auto"/>
      </w:divBdr>
    </w:div>
    <w:div w:id="135052868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7313390">
      <w:bodyDiv w:val="1"/>
      <w:marLeft w:val="0"/>
      <w:marRight w:val="0"/>
      <w:marTop w:val="0"/>
      <w:marBottom w:val="0"/>
      <w:divBdr>
        <w:top w:val="none" w:sz="0" w:space="0" w:color="auto"/>
        <w:left w:val="none" w:sz="0" w:space="0" w:color="auto"/>
        <w:bottom w:val="none" w:sz="0" w:space="0" w:color="auto"/>
        <w:right w:val="none" w:sz="0" w:space="0" w:color="auto"/>
      </w:divBdr>
      <w:divsChild>
        <w:div w:id="783497541">
          <w:marLeft w:val="0"/>
          <w:marRight w:val="0"/>
          <w:marTop w:val="0"/>
          <w:marBottom w:val="0"/>
          <w:divBdr>
            <w:top w:val="none" w:sz="0" w:space="0" w:color="auto"/>
            <w:left w:val="none" w:sz="0" w:space="0" w:color="auto"/>
            <w:bottom w:val="none" w:sz="0" w:space="0" w:color="auto"/>
            <w:right w:val="none" w:sz="0" w:space="0" w:color="auto"/>
          </w:divBdr>
        </w:div>
        <w:div w:id="813713795">
          <w:marLeft w:val="0"/>
          <w:marRight w:val="0"/>
          <w:marTop w:val="0"/>
          <w:marBottom w:val="0"/>
          <w:divBdr>
            <w:top w:val="none" w:sz="0" w:space="0" w:color="auto"/>
            <w:left w:val="none" w:sz="0" w:space="0" w:color="auto"/>
            <w:bottom w:val="none" w:sz="0" w:space="0" w:color="auto"/>
            <w:right w:val="none" w:sz="0" w:space="0" w:color="auto"/>
          </w:divBdr>
        </w:div>
      </w:divsChild>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79696221">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17289351">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39325601">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5082653">
      <w:bodyDiv w:val="1"/>
      <w:marLeft w:val="0"/>
      <w:marRight w:val="0"/>
      <w:marTop w:val="0"/>
      <w:marBottom w:val="0"/>
      <w:divBdr>
        <w:top w:val="none" w:sz="0" w:space="0" w:color="auto"/>
        <w:left w:val="none" w:sz="0" w:space="0" w:color="auto"/>
        <w:bottom w:val="none" w:sz="0" w:space="0" w:color="auto"/>
        <w:right w:val="none" w:sz="0" w:space="0" w:color="auto"/>
      </w:divBdr>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8357463">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099788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391409">
      <w:bodyDiv w:val="1"/>
      <w:marLeft w:val="0"/>
      <w:marRight w:val="0"/>
      <w:marTop w:val="0"/>
      <w:marBottom w:val="0"/>
      <w:divBdr>
        <w:top w:val="none" w:sz="0" w:space="0" w:color="auto"/>
        <w:left w:val="none" w:sz="0" w:space="0" w:color="auto"/>
        <w:bottom w:val="none" w:sz="0" w:space="0" w:color="auto"/>
        <w:right w:val="none" w:sz="0" w:space="0" w:color="auto"/>
      </w:divBdr>
      <w:divsChild>
        <w:div w:id="2140108510">
          <w:marLeft w:val="0"/>
          <w:marRight w:val="0"/>
          <w:marTop w:val="150"/>
          <w:marBottom w:val="0"/>
          <w:divBdr>
            <w:top w:val="none" w:sz="0" w:space="0" w:color="auto"/>
            <w:left w:val="none" w:sz="0" w:space="0" w:color="auto"/>
            <w:bottom w:val="none" w:sz="0" w:space="0" w:color="auto"/>
            <w:right w:val="none" w:sz="0" w:space="0" w:color="auto"/>
          </w:divBdr>
        </w:div>
        <w:div w:id="117451357">
          <w:marLeft w:val="0"/>
          <w:marRight w:val="0"/>
          <w:marTop w:val="0"/>
          <w:marBottom w:val="150"/>
          <w:divBdr>
            <w:top w:val="none" w:sz="0" w:space="0" w:color="auto"/>
            <w:left w:val="none" w:sz="0" w:space="0" w:color="auto"/>
            <w:bottom w:val="none" w:sz="0" w:space="0" w:color="auto"/>
            <w:right w:val="none" w:sz="0" w:space="0" w:color="auto"/>
          </w:divBdr>
          <w:divsChild>
            <w:div w:id="1276130921">
              <w:marLeft w:val="0"/>
              <w:marRight w:val="0"/>
              <w:marTop w:val="0"/>
              <w:marBottom w:val="0"/>
              <w:divBdr>
                <w:top w:val="none" w:sz="0" w:space="0" w:color="auto"/>
                <w:left w:val="none" w:sz="0" w:space="0" w:color="auto"/>
                <w:bottom w:val="none" w:sz="0" w:space="0" w:color="auto"/>
                <w:right w:val="none" w:sz="0" w:space="0" w:color="auto"/>
              </w:divBdr>
            </w:div>
            <w:div w:id="1952661693">
              <w:marLeft w:val="0"/>
              <w:marRight w:val="0"/>
              <w:marTop w:val="0"/>
              <w:marBottom w:val="0"/>
              <w:divBdr>
                <w:top w:val="none" w:sz="0" w:space="0" w:color="auto"/>
                <w:left w:val="none" w:sz="0" w:space="0" w:color="auto"/>
                <w:bottom w:val="none" w:sz="0" w:space="0" w:color="auto"/>
                <w:right w:val="none" w:sz="0" w:space="0" w:color="auto"/>
              </w:divBdr>
            </w:div>
            <w:div w:id="800224738">
              <w:marLeft w:val="0"/>
              <w:marRight w:val="0"/>
              <w:marTop w:val="0"/>
              <w:marBottom w:val="0"/>
              <w:divBdr>
                <w:top w:val="none" w:sz="0" w:space="0" w:color="auto"/>
                <w:left w:val="none" w:sz="0" w:space="0" w:color="auto"/>
                <w:bottom w:val="none" w:sz="0" w:space="0" w:color="auto"/>
                <w:right w:val="none" w:sz="0" w:space="0" w:color="auto"/>
              </w:divBdr>
            </w:div>
          </w:divsChild>
        </w:div>
        <w:div w:id="1733962774">
          <w:marLeft w:val="0"/>
          <w:marRight w:val="0"/>
          <w:marTop w:val="0"/>
          <w:marBottom w:val="0"/>
          <w:divBdr>
            <w:top w:val="none" w:sz="0" w:space="0" w:color="auto"/>
            <w:left w:val="none" w:sz="0" w:space="0" w:color="auto"/>
            <w:bottom w:val="none" w:sz="0" w:space="0" w:color="auto"/>
            <w:right w:val="none" w:sz="0" w:space="0" w:color="auto"/>
          </w:divBdr>
          <w:divsChild>
            <w:div w:id="1366635344">
              <w:marLeft w:val="0"/>
              <w:marRight w:val="0"/>
              <w:marTop w:val="0"/>
              <w:marBottom w:val="0"/>
              <w:divBdr>
                <w:top w:val="none" w:sz="0" w:space="0" w:color="auto"/>
                <w:left w:val="none" w:sz="0" w:space="0" w:color="auto"/>
                <w:bottom w:val="none" w:sz="0" w:space="0" w:color="auto"/>
                <w:right w:val="none" w:sz="0" w:space="0" w:color="auto"/>
              </w:divBdr>
            </w:div>
            <w:div w:id="1178303662">
              <w:marLeft w:val="0"/>
              <w:marRight w:val="0"/>
              <w:marTop w:val="0"/>
              <w:marBottom w:val="0"/>
              <w:divBdr>
                <w:top w:val="none" w:sz="0" w:space="0" w:color="auto"/>
                <w:left w:val="none" w:sz="0" w:space="0" w:color="auto"/>
                <w:bottom w:val="none" w:sz="0" w:space="0" w:color="auto"/>
                <w:right w:val="none" w:sz="0" w:space="0" w:color="auto"/>
              </w:divBdr>
              <w:divsChild>
                <w:div w:id="407193457">
                  <w:marLeft w:val="0"/>
                  <w:marRight w:val="0"/>
                  <w:marTop w:val="0"/>
                  <w:marBottom w:val="0"/>
                  <w:divBdr>
                    <w:top w:val="none" w:sz="0" w:space="0" w:color="auto"/>
                    <w:left w:val="none" w:sz="0" w:space="0" w:color="auto"/>
                    <w:bottom w:val="none" w:sz="0" w:space="0" w:color="auto"/>
                    <w:right w:val="none" w:sz="0" w:space="0" w:color="auto"/>
                  </w:divBdr>
                </w:div>
              </w:divsChild>
            </w:div>
            <w:div w:id="2019847719">
              <w:marLeft w:val="0"/>
              <w:marRight w:val="0"/>
              <w:marTop w:val="0"/>
              <w:marBottom w:val="0"/>
              <w:divBdr>
                <w:top w:val="none" w:sz="0" w:space="0" w:color="auto"/>
                <w:left w:val="none" w:sz="0" w:space="0" w:color="auto"/>
                <w:bottom w:val="none" w:sz="0" w:space="0" w:color="auto"/>
                <w:right w:val="none" w:sz="0" w:space="0" w:color="auto"/>
              </w:divBdr>
              <w:divsChild>
                <w:div w:id="1192034605">
                  <w:marLeft w:val="0"/>
                  <w:marRight w:val="0"/>
                  <w:marTop w:val="0"/>
                  <w:marBottom w:val="0"/>
                  <w:divBdr>
                    <w:top w:val="none" w:sz="0" w:space="0" w:color="auto"/>
                    <w:left w:val="none" w:sz="0" w:space="0" w:color="auto"/>
                    <w:bottom w:val="none" w:sz="0" w:space="0" w:color="auto"/>
                    <w:right w:val="none" w:sz="0" w:space="0" w:color="auto"/>
                  </w:divBdr>
                </w:div>
                <w:div w:id="1208758919">
                  <w:marLeft w:val="0"/>
                  <w:marRight w:val="0"/>
                  <w:marTop w:val="0"/>
                  <w:marBottom w:val="0"/>
                  <w:divBdr>
                    <w:top w:val="none" w:sz="0" w:space="0" w:color="auto"/>
                    <w:left w:val="none" w:sz="0" w:space="0" w:color="auto"/>
                    <w:bottom w:val="none" w:sz="0" w:space="0" w:color="auto"/>
                    <w:right w:val="none" w:sz="0" w:space="0" w:color="auto"/>
                  </w:divBdr>
                  <w:divsChild>
                    <w:div w:id="759106921">
                      <w:marLeft w:val="0"/>
                      <w:marRight w:val="0"/>
                      <w:marTop w:val="0"/>
                      <w:marBottom w:val="0"/>
                      <w:divBdr>
                        <w:top w:val="none" w:sz="0" w:space="0" w:color="auto"/>
                        <w:left w:val="none" w:sz="0" w:space="0" w:color="auto"/>
                        <w:bottom w:val="none" w:sz="0" w:space="0" w:color="auto"/>
                        <w:right w:val="none" w:sz="0" w:space="0" w:color="auto"/>
                      </w:divBdr>
                    </w:div>
                    <w:div w:id="2048483449">
                      <w:marLeft w:val="0"/>
                      <w:marRight w:val="0"/>
                      <w:marTop w:val="0"/>
                      <w:marBottom w:val="0"/>
                      <w:divBdr>
                        <w:top w:val="none" w:sz="0" w:space="0" w:color="auto"/>
                        <w:left w:val="none" w:sz="0" w:space="0" w:color="auto"/>
                        <w:bottom w:val="none" w:sz="0" w:space="0" w:color="auto"/>
                        <w:right w:val="none" w:sz="0" w:space="0" w:color="auto"/>
                      </w:divBdr>
                    </w:div>
                    <w:div w:id="422994912">
                      <w:marLeft w:val="0"/>
                      <w:marRight w:val="0"/>
                      <w:marTop w:val="0"/>
                      <w:marBottom w:val="0"/>
                      <w:divBdr>
                        <w:top w:val="none" w:sz="0" w:space="0" w:color="auto"/>
                        <w:left w:val="none" w:sz="0" w:space="0" w:color="auto"/>
                        <w:bottom w:val="none" w:sz="0" w:space="0" w:color="auto"/>
                        <w:right w:val="none" w:sz="0" w:space="0" w:color="auto"/>
                      </w:divBdr>
                    </w:div>
                    <w:div w:id="762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0116879">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5113780">
      <w:bodyDiv w:val="1"/>
      <w:marLeft w:val="0"/>
      <w:marRight w:val="0"/>
      <w:marTop w:val="0"/>
      <w:marBottom w:val="0"/>
      <w:divBdr>
        <w:top w:val="none" w:sz="0" w:space="0" w:color="auto"/>
        <w:left w:val="none" w:sz="0" w:space="0" w:color="auto"/>
        <w:bottom w:val="none" w:sz="0" w:space="0" w:color="auto"/>
        <w:right w:val="none" w:sz="0" w:space="0" w:color="auto"/>
      </w:divBdr>
      <w:divsChild>
        <w:div w:id="389890311">
          <w:marLeft w:val="0"/>
          <w:marRight w:val="0"/>
          <w:marTop w:val="0"/>
          <w:marBottom w:val="0"/>
          <w:divBdr>
            <w:top w:val="none" w:sz="0" w:space="0" w:color="auto"/>
            <w:left w:val="none" w:sz="0" w:space="0" w:color="auto"/>
            <w:bottom w:val="none" w:sz="0" w:space="0" w:color="auto"/>
            <w:right w:val="none" w:sz="0" w:space="0" w:color="auto"/>
          </w:divBdr>
          <w:divsChild>
            <w:div w:id="2007589085">
              <w:marLeft w:val="0"/>
              <w:marRight w:val="0"/>
              <w:marTop w:val="0"/>
              <w:marBottom w:val="0"/>
              <w:divBdr>
                <w:top w:val="none" w:sz="0" w:space="0" w:color="auto"/>
                <w:left w:val="none" w:sz="0" w:space="0" w:color="auto"/>
                <w:bottom w:val="none" w:sz="0" w:space="0" w:color="auto"/>
                <w:right w:val="none" w:sz="0" w:space="0" w:color="auto"/>
              </w:divBdr>
              <w:divsChild>
                <w:div w:id="432938483">
                  <w:marLeft w:val="0"/>
                  <w:marRight w:val="0"/>
                  <w:marTop w:val="0"/>
                  <w:marBottom w:val="0"/>
                  <w:divBdr>
                    <w:top w:val="none" w:sz="0" w:space="0" w:color="auto"/>
                    <w:left w:val="none" w:sz="0" w:space="0" w:color="auto"/>
                    <w:bottom w:val="none" w:sz="0" w:space="0" w:color="auto"/>
                    <w:right w:val="none" w:sz="0" w:space="0" w:color="auto"/>
                  </w:divBdr>
                  <w:divsChild>
                    <w:div w:id="16194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2493429">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49164700">
      <w:bodyDiv w:val="1"/>
      <w:marLeft w:val="0"/>
      <w:marRight w:val="0"/>
      <w:marTop w:val="0"/>
      <w:marBottom w:val="0"/>
      <w:divBdr>
        <w:top w:val="none" w:sz="0" w:space="0" w:color="auto"/>
        <w:left w:val="none" w:sz="0" w:space="0" w:color="auto"/>
        <w:bottom w:val="none" w:sz="0" w:space="0" w:color="auto"/>
        <w:right w:val="none" w:sz="0" w:space="0" w:color="auto"/>
      </w:divBdr>
    </w:div>
    <w:div w:id="1651323839">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218163">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83051192">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36856356">
      <w:bodyDiv w:val="1"/>
      <w:marLeft w:val="0"/>
      <w:marRight w:val="0"/>
      <w:marTop w:val="0"/>
      <w:marBottom w:val="0"/>
      <w:divBdr>
        <w:top w:val="none" w:sz="0" w:space="0" w:color="auto"/>
        <w:left w:val="none" w:sz="0" w:space="0" w:color="auto"/>
        <w:bottom w:val="none" w:sz="0" w:space="0" w:color="auto"/>
        <w:right w:val="none" w:sz="0" w:space="0" w:color="auto"/>
      </w:divBdr>
      <w:divsChild>
        <w:div w:id="2092196303">
          <w:marLeft w:val="0"/>
          <w:marRight w:val="0"/>
          <w:marTop w:val="0"/>
          <w:marBottom w:val="0"/>
          <w:divBdr>
            <w:top w:val="none" w:sz="0" w:space="0" w:color="auto"/>
            <w:left w:val="none" w:sz="0" w:space="0" w:color="auto"/>
            <w:bottom w:val="none" w:sz="0" w:space="0" w:color="auto"/>
            <w:right w:val="none" w:sz="0" w:space="0" w:color="auto"/>
          </w:divBdr>
        </w:div>
      </w:divsChild>
    </w:div>
    <w:div w:id="1749376754">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3806">
      <w:bodyDiv w:val="1"/>
      <w:marLeft w:val="0"/>
      <w:marRight w:val="0"/>
      <w:marTop w:val="0"/>
      <w:marBottom w:val="0"/>
      <w:divBdr>
        <w:top w:val="none" w:sz="0" w:space="0" w:color="auto"/>
        <w:left w:val="none" w:sz="0" w:space="0" w:color="auto"/>
        <w:bottom w:val="none" w:sz="0" w:space="0" w:color="auto"/>
        <w:right w:val="none" w:sz="0" w:space="0" w:color="auto"/>
      </w:divBdr>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2242827">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19376447">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2773971">
      <w:bodyDiv w:val="1"/>
      <w:marLeft w:val="0"/>
      <w:marRight w:val="0"/>
      <w:marTop w:val="0"/>
      <w:marBottom w:val="0"/>
      <w:divBdr>
        <w:top w:val="none" w:sz="0" w:space="0" w:color="auto"/>
        <w:left w:val="none" w:sz="0" w:space="0" w:color="auto"/>
        <w:bottom w:val="none" w:sz="0" w:space="0" w:color="auto"/>
        <w:right w:val="none" w:sz="0" w:space="0" w:color="auto"/>
      </w:divBdr>
    </w:div>
    <w:div w:id="1843549477">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58732509">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0483377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29918653">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2567442">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56129461">
      <w:bodyDiv w:val="1"/>
      <w:marLeft w:val="0"/>
      <w:marRight w:val="0"/>
      <w:marTop w:val="0"/>
      <w:marBottom w:val="0"/>
      <w:divBdr>
        <w:top w:val="none" w:sz="0" w:space="0" w:color="auto"/>
        <w:left w:val="none" w:sz="0" w:space="0" w:color="auto"/>
        <w:bottom w:val="none" w:sz="0" w:space="0" w:color="auto"/>
        <w:right w:val="none" w:sz="0" w:space="0" w:color="auto"/>
      </w:divBdr>
    </w:div>
    <w:div w:id="1957322422">
      <w:bodyDiv w:val="1"/>
      <w:marLeft w:val="0"/>
      <w:marRight w:val="0"/>
      <w:marTop w:val="0"/>
      <w:marBottom w:val="0"/>
      <w:divBdr>
        <w:top w:val="none" w:sz="0" w:space="0" w:color="auto"/>
        <w:left w:val="none" w:sz="0" w:space="0" w:color="auto"/>
        <w:bottom w:val="none" w:sz="0" w:space="0" w:color="auto"/>
        <w:right w:val="none" w:sz="0" w:space="0" w:color="auto"/>
      </w:divBdr>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71114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5235277">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21573">
      <w:bodyDiv w:val="1"/>
      <w:marLeft w:val="0"/>
      <w:marRight w:val="0"/>
      <w:marTop w:val="0"/>
      <w:marBottom w:val="0"/>
      <w:divBdr>
        <w:top w:val="none" w:sz="0" w:space="0" w:color="auto"/>
        <w:left w:val="none" w:sz="0" w:space="0" w:color="auto"/>
        <w:bottom w:val="none" w:sz="0" w:space="0" w:color="auto"/>
        <w:right w:val="none" w:sz="0" w:space="0" w:color="auto"/>
      </w:divBdr>
      <w:divsChild>
        <w:div w:id="1550142743">
          <w:marLeft w:val="0"/>
          <w:marRight w:val="0"/>
          <w:marTop w:val="0"/>
          <w:marBottom w:val="0"/>
          <w:divBdr>
            <w:top w:val="none" w:sz="0" w:space="0" w:color="auto"/>
            <w:left w:val="none" w:sz="0" w:space="0" w:color="auto"/>
            <w:bottom w:val="single" w:sz="6" w:space="11" w:color="EBEBEB"/>
            <w:right w:val="none" w:sz="0" w:space="0" w:color="auto"/>
          </w:divBdr>
          <w:divsChild>
            <w:div w:id="5332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36286839">
      <w:bodyDiv w:val="1"/>
      <w:marLeft w:val="0"/>
      <w:marRight w:val="0"/>
      <w:marTop w:val="0"/>
      <w:marBottom w:val="0"/>
      <w:divBdr>
        <w:top w:val="none" w:sz="0" w:space="0" w:color="auto"/>
        <w:left w:val="none" w:sz="0" w:space="0" w:color="auto"/>
        <w:bottom w:val="none" w:sz="0" w:space="0" w:color="auto"/>
        <w:right w:val="none" w:sz="0" w:space="0" w:color="auto"/>
      </w:divBdr>
      <w:divsChild>
        <w:div w:id="499005162">
          <w:marLeft w:val="0"/>
          <w:marRight w:val="0"/>
          <w:marTop w:val="0"/>
          <w:marBottom w:val="0"/>
          <w:divBdr>
            <w:top w:val="none" w:sz="0" w:space="0" w:color="auto"/>
            <w:left w:val="none" w:sz="0" w:space="0" w:color="auto"/>
            <w:bottom w:val="none" w:sz="0" w:space="0" w:color="auto"/>
            <w:right w:val="none" w:sz="0" w:space="0" w:color="auto"/>
          </w:divBdr>
          <w:divsChild>
            <w:div w:id="1652320514">
              <w:marLeft w:val="0"/>
              <w:marRight w:val="0"/>
              <w:marTop w:val="0"/>
              <w:marBottom w:val="0"/>
              <w:divBdr>
                <w:top w:val="none" w:sz="0" w:space="0" w:color="auto"/>
                <w:left w:val="none" w:sz="0" w:space="0" w:color="auto"/>
                <w:bottom w:val="none" w:sz="0" w:space="0" w:color="auto"/>
                <w:right w:val="none" w:sz="0" w:space="0" w:color="auto"/>
              </w:divBdr>
              <w:divsChild>
                <w:div w:id="1825924396">
                  <w:marLeft w:val="0"/>
                  <w:marRight w:val="0"/>
                  <w:marTop w:val="0"/>
                  <w:marBottom w:val="0"/>
                  <w:divBdr>
                    <w:top w:val="none" w:sz="0" w:space="0" w:color="auto"/>
                    <w:left w:val="none" w:sz="0" w:space="0" w:color="auto"/>
                    <w:bottom w:val="none" w:sz="0" w:space="0" w:color="auto"/>
                    <w:right w:val="none" w:sz="0" w:space="0" w:color="auto"/>
                  </w:divBdr>
                  <w:divsChild>
                    <w:div w:id="16799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s.google.com/books?id=fsyxDwAAQBAJ&amp;pg=PT112&amp;lpg=PT112&amp;dq=%22the+EU+parliament+committee+on+budgets+regarding+funding+notes%22&amp;source=bl&amp;ots=GIKD235P0J&amp;sig=ACfU3U3FxzVcnGW8TH4qbnn-_xuTj8gCdA&amp;hl=en&amp;sa=X&amp;ved=2ahUKEwjJwdGH1NvuAhXDneAKHQOxBm8Q6AEwAHoECAIQAg" TargetMode="External"/><Relationship Id="rId18" Type="http://schemas.openxmlformats.org/officeDocument/2006/relationships/image" Target="media/image5.png"/><Relationship Id="rId26" Type="http://schemas.openxmlformats.org/officeDocument/2006/relationships/hyperlink" Target="https://www.independent.org/students/essay/essay.asp?id=2341" TargetMode="External"/><Relationship Id="rId3" Type="http://schemas.openxmlformats.org/officeDocument/2006/relationships/styles" Target="styles.xml"/><Relationship Id="rId21" Type="http://schemas.openxmlformats.org/officeDocument/2006/relationships/hyperlink" Target="https://books.google.com/books?id=fsyxDwAAQBAJ&amp;pg=PT112&amp;lpg=PT112&amp;dq=%22the+EU+parliament+committee+on+budgets+regarding+funding+notes%22&amp;source=bl&amp;ots=GIKD235P0J&amp;sig=ACfU3U3FxzVcnGW8TH4qbnn-_xuTj8gCdA&amp;hl=en&amp;sa=X&amp;ved=2ahUKEwjJwdGH1NvuAhXDneAKHQOxBm8Q6AEwAHoECAIQA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igrationpolicy.org/sites/default/files/publications/MPIE-EUfunds-migrationpolicy-Final-WEB.pdf" TargetMode="External"/><Relationship Id="rId25" Type="http://schemas.openxmlformats.org/officeDocument/2006/relationships/hyperlink" Target="https://www.independent.org/students/essay/essay.asp?id=234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eumigrationlawblog.eu/financial-implications-of-the-new-pact-on-migration-and-asylum-will-the-next-mff-cover-the-cos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google.com/books?id=fsyxDwAAQBAJ&amp;pg=PT112&amp;lpg=PT112&amp;dq=%22the+EU+parliament+committee+on+budgets+regarding+funding+notes%22&amp;source=bl&amp;ots=GIKD235P0J&amp;sig=ACfU3U3FxzVcnGW8TH4qbnn-_xuTj8gCdA&amp;hl=en&amp;sa=X&amp;ved=2ahUKEwjJwdGH1NvuAhXDneAKHQOxBm8Q6AEwAHoECAIQAg" TargetMode="External"/><Relationship Id="rId24" Type="http://schemas.openxmlformats.org/officeDocument/2006/relationships/hyperlink" Target="https://www.independent.org/students/essay/essay.asp?id=2341"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igrationpolicy.org/sites/default/files/publications/MPIE-EUfunds-migrationpolicy-Final-WEB.pdf" TargetMode="External"/><Relationship Id="rId23" Type="http://schemas.openxmlformats.org/officeDocument/2006/relationships/hyperlink" Target="https://www.independent.org/students/essay/essay.asp?id=2341" TargetMode="External"/><Relationship Id="rId28" Type="http://schemas.openxmlformats.org/officeDocument/2006/relationships/header" Target="header2.xml"/><Relationship Id="rId10" Type="http://schemas.openxmlformats.org/officeDocument/2006/relationships/hyperlink" Target="file:///C:/Users/vth/Downloads/toolkit-integration-of-migrants.pdf" TargetMode="External"/><Relationship Id="rId19" Type="http://schemas.openxmlformats.org/officeDocument/2006/relationships/hyperlink" Target="http://www.unizg.hr/homepag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books.google.com/books?id=fsyxDwAAQBAJ&amp;pg=PT112&amp;lpg=PT112&amp;dq=%22the+EU+parliament+committee+on+budgets+regarding+funding+notes%22&amp;source=bl&amp;ots=GIKD235P0J&amp;sig=ACfU3U3FxzVcnGW8TH4qbnn-_xuTj8gCdA&amp;hl=en&amp;sa=X&amp;ved=2ahUKEwjJwdGH1NvuAhXDneAKHQOxBm8Q6AEwAHoECAIQ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30B52-B112-4EFA-9F5F-D09A8070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8203</TotalTime>
  <Pages>11</Pages>
  <Words>4063</Words>
  <Characters>23161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Monument Debate Brief</vt:lpstr>
    </vt:vector>
  </TitlesOfParts>
  <Company>DASSAULT SYSTEMES</Company>
  <LinksUpToDate>false</LinksUpToDate>
  <CharactersWithSpaces>27170</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Monument Debate Brief</dc:title>
  <dc:subject/>
  <dc:creator>Chris Jeub</dc:creator>
  <cp:keywords/>
  <dc:description/>
  <cp:lastModifiedBy>Chris Jeub</cp:lastModifiedBy>
  <cp:revision>112</cp:revision>
  <cp:lastPrinted>2014-07-05T10:25:00Z</cp:lastPrinted>
  <dcterms:created xsi:type="dcterms:W3CDTF">2020-10-21T14:56:00Z</dcterms:created>
  <dcterms:modified xsi:type="dcterms:W3CDTF">2021-05-03T08:08:00Z</dcterms:modified>
</cp:coreProperties>
</file>